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C7822" w14:textId="19B7A20F" w:rsidR="00ED3ABD" w:rsidRPr="00550B08" w:rsidRDefault="007221DF" w:rsidP="00ED3ABD">
      <w:pPr>
        <w:rPr>
          <w:rFonts w:ascii="Arial" w:hAnsi="Arial" w:cs="Arial"/>
          <w:b/>
          <w:bCs/>
          <w:color w:val="505050"/>
          <w:sz w:val="18"/>
          <w:szCs w:val="18"/>
        </w:rPr>
      </w:pPr>
      <w:r w:rsidRPr="00550B08">
        <w:rPr>
          <w:rFonts w:ascii="Arial" w:hAnsi="Arial" w:cs="Arial"/>
          <w:b/>
          <w:bCs/>
          <w:noProof/>
          <w:color w:val="505050"/>
          <w:sz w:val="18"/>
          <w:szCs w:val="18"/>
        </w:rPr>
        <w:drawing>
          <wp:anchor distT="0" distB="0" distL="114300" distR="114300" simplePos="0" relativeHeight="251658240" behindDoc="1" locked="0" layoutInCell="1" allowOverlap="1" wp14:anchorId="49377F67" wp14:editId="34D0D744">
            <wp:simplePos x="0" y="0"/>
            <wp:positionH relativeFrom="margin">
              <wp:align>right</wp:align>
            </wp:positionH>
            <wp:positionV relativeFrom="paragraph">
              <wp:posOffset>6888</wp:posOffset>
            </wp:positionV>
            <wp:extent cx="1398270" cy="626110"/>
            <wp:effectExtent l="0" t="0" r="0" b="2540"/>
            <wp:wrapTight wrapText="bothSides">
              <wp:wrapPolygon edited="0">
                <wp:start x="0" y="0"/>
                <wp:lineTo x="0" y="21030"/>
                <wp:lineTo x="6768" y="21030"/>
                <wp:lineTo x="9123" y="21030"/>
                <wp:lineTo x="21188" y="21030"/>
                <wp:lineTo x="21188" y="2629"/>
                <wp:lineTo x="1412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ina Logo Black @1.5x.png"/>
                    <pic:cNvPicPr/>
                  </pic:nvPicPr>
                  <pic:blipFill>
                    <a:blip r:embed="rId5">
                      <a:extLst>
                        <a:ext uri="{28A0092B-C50C-407E-A947-70E740481C1C}">
                          <a14:useLocalDpi xmlns:a14="http://schemas.microsoft.com/office/drawing/2010/main" val="0"/>
                        </a:ext>
                      </a:extLst>
                    </a:blip>
                    <a:stretch>
                      <a:fillRect/>
                    </a:stretch>
                  </pic:blipFill>
                  <pic:spPr>
                    <a:xfrm>
                      <a:off x="0" y="0"/>
                      <a:ext cx="1398270" cy="626110"/>
                    </a:xfrm>
                    <a:prstGeom prst="rect">
                      <a:avLst/>
                    </a:prstGeom>
                  </pic:spPr>
                </pic:pic>
              </a:graphicData>
            </a:graphic>
            <wp14:sizeRelH relativeFrom="margin">
              <wp14:pctWidth>0</wp14:pctWidth>
            </wp14:sizeRelH>
            <wp14:sizeRelV relativeFrom="margin">
              <wp14:pctHeight>0</wp14:pctHeight>
            </wp14:sizeRelV>
          </wp:anchor>
        </w:drawing>
      </w:r>
      <w:r w:rsidR="00ED3ABD" w:rsidRPr="00550B08">
        <w:rPr>
          <w:rFonts w:ascii="Arial" w:hAnsi="Arial" w:cs="Arial"/>
          <w:b/>
          <w:bCs/>
          <w:color w:val="505050"/>
          <w:sz w:val="18"/>
          <w:szCs w:val="18"/>
        </w:rPr>
        <w:t>CONTACT INFORMATION:</w:t>
      </w:r>
    </w:p>
    <w:p w14:paraId="0532A99E" w14:textId="63178E36"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Lumina Intelligence</w:t>
      </w:r>
    </w:p>
    <w:p w14:paraId="32951546" w14:textId="0A8BAE7A"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Giorgio Rigali</w:t>
      </w:r>
    </w:p>
    <w:p w14:paraId="553A8214" w14:textId="18EC8804"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07545990030</w:t>
      </w:r>
    </w:p>
    <w:p w14:paraId="452AC616" w14:textId="35EB428C" w:rsidR="00ED3ABD" w:rsidRPr="00550B08" w:rsidRDefault="00C3589F" w:rsidP="00ED3ABD">
      <w:pPr>
        <w:spacing w:after="0" w:line="240" w:lineRule="auto"/>
        <w:rPr>
          <w:rStyle w:val="Hyperlink"/>
          <w:rFonts w:ascii="Arial" w:hAnsi="Arial" w:cs="Arial"/>
          <w:color w:val="505050"/>
          <w:sz w:val="18"/>
          <w:szCs w:val="18"/>
        </w:rPr>
      </w:pPr>
      <w:hyperlink r:id="rId6" w:history="1">
        <w:r w:rsidR="00ED3ABD" w:rsidRPr="00550B08">
          <w:rPr>
            <w:rStyle w:val="Hyperlink"/>
            <w:rFonts w:ascii="Arial" w:hAnsi="Arial" w:cs="Arial"/>
            <w:b/>
            <w:bCs/>
            <w:color w:val="505050"/>
            <w:sz w:val="18"/>
            <w:szCs w:val="18"/>
          </w:rPr>
          <w:t>Giorgio.rigali@lumina-intelligence.co.uk</w:t>
        </w:r>
      </w:hyperlink>
    </w:p>
    <w:p w14:paraId="1D64BCA5" w14:textId="3CA5B9DE" w:rsidR="003C4BB2" w:rsidRPr="00550B08" w:rsidRDefault="003C4BB2" w:rsidP="00ED3ABD">
      <w:pPr>
        <w:spacing w:after="0" w:line="240" w:lineRule="auto"/>
        <w:rPr>
          <w:rStyle w:val="Hyperlink"/>
          <w:rFonts w:ascii="Arial" w:hAnsi="Arial" w:cs="Arial"/>
          <w:color w:val="505050"/>
          <w:sz w:val="18"/>
          <w:szCs w:val="18"/>
        </w:rPr>
      </w:pPr>
    </w:p>
    <w:p w14:paraId="21BA4789" w14:textId="7774AB78" w:rsidR="00ED3ABD" w:rsidRPr="00550B08" w:rsidRDefault="00006FF4" w:rsidP="003C4BB2">
      <w:pPr>
        <w:spacing w:after="0" w:line="240" w:lineRule="auto"/>
        <w:rPr>
          <w:rStyle w:val="Hyperlink"/>
          <w:rFonts w:ascii="Arial" w:hAnsi="Arial" w:cs="Arial"/>
          <w:b/>
          <w:bCs/>
          <w:color w:val="505050"/>
          <w:sz w:val="18"/>
          <w:szCs w:val="18"/>
          <w:u w:val="none"/>
        </w:rPr>
      </w:pPr>
      <w:r>
        <w:rPr>
          <w:rStyle w:val="Hyperlink"/>
          <w:rFonts w:ascii="Arial" w:hAnsi="Arial" w:cs="Arial"/>
          <w:b/>
          <w:bCs/>
          <w:color w:val="505050"/>
          <w:sz w:val="18"/>
          <w:szCs w:val="18"/>
          <w:u w:val="none"/>
        </w:rPr>
        <w:t>1</w:t>
      </w:r>
      <w:r w:rsidR="00CE055C">
        <w:rPr>
          <w:rStyle w:val="Hyperlink"/>
          <w:rFonts w:ascii="Arial" w:hAnsi="Arial" w:cs="Arial"/>
          <w:b/>
          <w:bCs/>
          <w:color w:val="505050"/>
          <w:sz w:val="18"/>
          <w:szCs w:val="18"/>
          <w:u w:val="none"/>
        </w:rPr>
        <w:t>9</w:t>
      </w:r>
      <w:r>
        <w:rPr>
          <w:rStyle w:val="Hyperlink"/>
          <w:rFonts w:ascii="Arial" w:hAnsi="Arial" w:cs="Arial"/>
          <w:b/>
          <w:bCs/>
          <w:color w:val="505050"/>
          <w:sz w:val="18"/>
          <w:szCs w:val="18"/>
          <w:u w:val="none"/>
        </w:rPr>
        <w:t xml:space="preserve"> </w:t>
      </w:r>
      <w:r w:rsidR="007335D5">
        <w:rPr>
          <w:rStyle w:val="Hyperlink"/>
          <w:rFonts w:ascii="Arial" w:hAnsi="Arial" w:cs="Arial"/>
          <w:b/>
          <w:bCs/>
          <w:color w:val="505050"/>
          <w:sz w:val="18"/>
          <w:szCs w:val="18"/>
          <w:u w:val="none"/>
        </w:rPr>
        <w:t>July</w:t>
      </w:r>
      <w:r w:rsidR="00CD419B">
        <w:rPr>
          <w:rStyle w:val="Hyperlink"/>
          <w:rFonts w:ascii="Arial" w:hAnsi="Arial" w:cs="Arial"/>
          <w:b/>
          <w:bCs/>
          <w:color w:val="505050"/>
          <w:sz w:val="18"/>
          <w:szCs w:val="18"/>
          <w:u w:val="none"/>
        </w:rPr>
        <w:t xml:space="preserve"> </w:t>
      </w:r>
      <w:r w:rsidR="003C4BB2" w:rsidRPr="00550B08">
        <w:rPr>
          <w:rStyle w:val="Hyperlink"/>
          <w:rFonts w:ascii="Arial" w:hAnsi="Arial" w:cs="Arial"/>
          <w:b/>
          <w:bCs/>
          <w:color w:val="505050"/>
          <w:sz w:val="18"/>
          <w:szCs w:val="18"/>
          <w:u w:val="none"/>
        </w:rPr>
        <w:t>202</w:t>
      </w:r>
      <w:r w:rsidR="00443DF9">
        <w:rPr>
          <w:rStyle w:val="Hyperlink"/>
          <w:rFonts w:ascii="Arial" w:hAnsi="Arial" w:cs="Arial"/>
          <w:b/>
          <w:bCs/>
          <w:color w:val="505050"/>
          <w:sz w:val="18"/>
          <w:szCs w:val="18"/>
          <w:u w:val="none"/>
        </w:rPr>
        <w:t>2</w:t>
      </w:r>
    </w:p>
    <w:p w14:paraId="74BC0C7C" w14:textId="77777777" w:rsidR="009400D0" w:rsidRPr="009400D0" w:rsidRDefault="009400D0" w:rsidP="009400D0">
      <w:pPr>
        <w:rPr>
          <w:rFonts w:ascii="Arial" w:hAnsi="Arial" w:cs="Arial"/>
          <w:b/>
          <w:bCs/>
          <w:sz w:val="32"/>
          <w:szCs w:val="32"/>
        </w:rPr>
      </w:pPr>
    </w:p>
    <w:p w14:paraId="20105AB1" w14:textId="705B30FC" w:rsidR="000809E0" w:rsidRDefault="00CE055C" w:rsidP="00CE055C">
      <w:pPr>
        <w:ind w:left="720"/>
        <w:jc w:val="center"/>
        <w:rPr>
          <w:rFonts w:ascii="Arial" w:hAnsi="Arial" w:cs="Arial"/>
          <w:b/>
          <w:bCs/>
          <w:sz w:val="32"/>
          <w:szCs w:val="32"/>
        </w:rPr>
      </w:pPr>
      <w:r>
        <w:rPr>
          <w:rFonts w:ascii="Arial" w:hAnsi="Arial" w:cs="Arial"/>
          <w:b/>
          <w:bCs/>
          <w:sz w:val="32"/>
          <w:szCs w:val="32"/>
        </w:rPr>
        <w:t>UK convenience retail market set to return to turnover growth in 2022, to a value of £45.2bn</w:t>
      </w:r>
    </w:p>
    <w:p w14:paraId="07B069FB" w14:textId="77777777" w:rsidR="009400D0" w:rsidRDefault="009400D0" w:rsidP="009400D0">
      <w:pPr>
        <w:jc w:val="center"/>
        <w:rPr>
          <w:rFonts w:ascii="Arial" w:hAnsi="Arial" w:cs="Arial"/>
          <w:sz w:val="20"/>
          <w:szCs w:val="20"/>
        </w:rPr>
      </w:pPr>
    </w:p>
    <w:p w14:paraId="3BF3B152" w14:textId="77777777" w:rsidR="00CE055C" w:rsidRDefault="00CE055C" w:rsidP="003B336B">
      <w:pPr>
        <w:rPr>
          <w:rFonts w:ascii="Arial" w:hAnsi="Arial" w:cs="Arial"/>
          <w:sz w:val="20"/>
          <w:szCs w:val="20"/>
        </w:rPr>
      </w:pPr>
      <w:r>
        <w:rPr>
          <w:rFonts w:ascii="Arial" w:hAnsi="Arial" w:cs="Arial"/>
          <w:sz w:val="20"/>
          <w:szCs w:val="20"/>
        </w:rPr>
        <w:t xml:space="preserve">According to the new Lumina Intelligence UK Convenience Market Report 2022, the UK convenience market is forecast to reach a value of £45.2bn in 2022, growth of +3.2% versus 2021. </w:t>
      </w:r>
    </w:p>
    <w:p w14:paraId="7EB3E582" w14:textId="29579D60" w:rsidR="00CE055C" w:rsidRDefault="00CE055C" w:rsidP="003B336B">
      <w:pPr>
        <w:rPr>
          <w:rFonts w:ascii="Arial" w:hAnsi="Arial" w:cs="Arial"/>
          <w:sz w:val="20"/>
          <w:szCs w:val="20"/>
        </w:rPr>
      </w:pPr>
      <w:r>
        <w:rPr>
          <w:rFonts w:ascii="Arial" w:hAnsi="Arial" w:cs="Arial"/>
          <w:sz w:val="20"/>
          <w:szCs w:val="20"/>
        </w:rPr>
        <w:t xml:space="preserve">This follows a small decline in 2021 of -0.8%, as market growth slowed </w:t>
      </w:r>
      <w:proofErr w:type="gramStart"/>
      <w:r>
        <w:rPr>
          <w:rFonts w:ascii="Arial" w:hAnsi="Arial" w:cs="Arial"/>
          <w:sz w:val="20"/>
          <w:szCs w:val="20"/>
        </w:rPr>
        <w:t>as a result of</w:t>
      </w:r>
      <w:proofErr w:type="gramEnd"/>
      <w:r>
        <w:rPr>
          <w:rFonts w:ascii="Arial" w:hAnsi="Arial" w:cs="Arial"/>
          <w:sz w:val="20"/>
          <w:szCs w:val="20"/>
        </w:rPr>
        <w:t xml:space="preserve"> hospitality reopening and coronavirus restrictions easing.</w:t>
      </w:r>
    </w:p>
    <w:p w14:paraId="31FF5834" w14:textId="77777777" w:rsidR="00C3589F" w:rsidRDefault="00C3589F" w:rsidP="00861082">
      <w:pPr>
        <w:rPr>
          <w:rFonts w:ascii="Arial" w:hAnsi="Arial" w:cs="Arial"/>
          <w:sz w:val="20"/>
          <w:szCs w:val="20"/>
        </w:rPr>
      </w:pPr>
      <w:r w:rsidRPr="00C3589F">
        <w:rPr>
          <w:rFonts w:ascii="Arial" w:hAnsi="Arial" w:cs="Arial"/>
          <w:sz w:val="20"/>
          <w:szCs w:val="20"/>
        </w:rPr>
        <w:t>The market is also expected to see positive, albeit modest, outlet growth at +0.6%, with a post pandemic property boom creating greater prospects for operators to expand</w:t>
      </w:r>
      <w:r>
        <w:rPr>
          <w:rFonts w:ascii="Arial" w:hAnsi="Arial" w:cs="Arial"/>
          <w:sz w:val="20"/>
          <w:szCs w:val="20"/>
        </w:rPr>
        <w:t>.</w:t>
      </w:r>
    </w:p>
    <w:p w14:paraId="3B8D67FD" w14:textId="7755CF51" w:rsidR="00861082" w:rsidRPr="00861082" w:rsidRDefault="00861082" w:rsidP="00861082">
      <w:pPr>
        <w:rPr>
          <w:rFonts w:ascii="Arial" w:hAnsi="Arial" w:cs="Arial"/>
          <w:b/>
          <w:bCs/>
        </w:rPr>
      </w:pPr>
      <w:r w:rsidRPr="00861082">
        <w:rPr>
          <w:rFonts w:ascii="Arial" w:hAnsi="Arial" w:cs="Arial"/>
          <w:b/>
          <w:bCs/>
        </w:rPr>
        <w:t xml:space="preserve">Co-operatives and </w:t>
      </w:r>
      <w:r w:rsidRPr="003F6D4B">
        <w:rPr>
          <w:rFonts w:ascii="Arial" w:hAnsi="Arial" w:cs="Arial"/>
          <w:b/>
          <w:bCs/>
        </w:rPr>
        <w:t>convenience multiples</w:t>
      </w:r>
      <w:r w:rsidRPr="00861082">
        <w:rPr>
          <w:rFonts w:ascii="Arial" w:hAnsi="Arial" w:cs="Arial"/>
          <w:b/>
          <w:bCs/>
        </w:rPr>
        <w:t xml:space="preserve"> set to outperform the market</w:t>
      </w:r>
    </w:p>
    <w:p w14:paraId="3677526B" w14:textId="11BD02C7" w:rsidR="00CE055C" w:rsidRDefault="00C76C7E" w:rsidP="00C76C7E">
      <w:pPr>
        <w:rPr>
          <w:rFonts w:ascii="Arial" w:hAnsi="Arial" w:cs="Arial"/>
          <w:sz w:val="20"/>
          <w:szCs w:val="20"/>
        </w:rPr>
      </w:pPr>
      <w:r w:rsidRPr="00C76C7E">
        <w:rPr>
          <w:rFonts w:ascii="Arial" w:hAnsi="Arial" w:cs="Arial"/>
          <w:sz w:val="20"/>
          <w:szCs w:val="20"/>
        </w:rPr>
        <w:t>Co</w:t>
      </w:r>
      <w:r>
        <w:rPr>
          <w:rFonts w:ascii="Arial" w:hAnsi="Arial" w:cs="Arial"/>
          <w:sz w:val="20"/>
          <w:szCs w:val="20"/>
        </w:rPr>
        <w:t>-</w:t>
      </w:r>
      <w:r w:rsidRPr="00C76C7E">
        <w:rPr>
          <w:rFonts w:ascii="Arial" w:hAnsi="Arial" w:cs="Arial"/>
          <w:sz w:val="20"/>
          <w:szCs w:val="20"/>
        </w:rPr>
        <w:t>operatives and convenience multiples are expected to grow turnover by +5.6% and +3.8% in 2022, respectively.</w:t>
      </w:r>
      <w:r>
        <w:rPr>
          <w:rFonts w:ascii="Arial" w:hAnsi="Arial" w:cs="Arial"/>
          <w:sz w:val="20"/>
          <w:szCs w:val="20"/>
        </w:rPr>
        <w:t xml:space="preserve"> This g</w:t>
      </w:r>
      <w:r w:rsidRPr="00C76C7E">
        <w:rPr>
          <w:rFonts w:ascii="Arial" w:hAnsi="Arial" w:cs="Arial"/>
          <w:sz w:val="20"/>
          <w:szCs w:val="20"/>
        </w:rPr>
        <w:t xml:space="preserve">rowth will be </w:t>
      </w:r>
      <w:r>
        <w:rPr>
          <w:rFonts w:ascii="Arial" w:hAnsi="Arial" w:cs="Arial"/>
          <w:sz w:val="20"/>
          <w:szCs w:val="20"/>
        </w:rPr>
        <w:t>underpinned</w:t>
      </w:r>
      <w:r w:rsidRPr="00C76C7E">
        <w:rPr>
          <w:rFonts w:ascii="Arial" w:hAnsi="Arial" w:cs="Arial"/>
          <w:sz w:val="20"/>
          <w:szCs w:val="20"/>
        </w:rPr>
        <w:t xml:space="preserve"> by investment in store refits and physical expansion, as well as developments in delivery services.</w:t>
      </w:r>
    </w:p>
    <w:p w14:paraId="1B204A7C" w14:textId="7FA9CB5A" w:rsidR="00793E45" w:rsidRDefault="00793E45" w:rsidP="00C76C7E">
      <w:pPr>
        <w:rPr>
          <w:rFonts w:ascii="Arial" w:hAnsi="Arial" w:cs="Arial"/>
          <w:sz w:val="20"/>
          <w:szCs w:val="20"/>
        </w:rPr>
      </w:pPr>
      <w:r>
        <w:rPr>
          <w:rFonts w:ascii="Arial" w:hAnsi="Arial" w:cs="Arial"/>
          <w:sz w:val="20"/>
          <w:szCs w:val="20"/>
        </w:rPr>
        <w:t>Forecourts (+1.6%), symbol groups (+2.9%) and unaffiliated independents (+1.7%) are all also expected to see growth, but at a slower rate to the total convenience market.</w:t>
      </w:r>
    </w:p>
    <w:p w14:paraId="416D947A" w14:textId="0CDD2C7E" w:rsidR="00793E45" w:rsidRPr="00793E45" w:rsidRDefault="00793E45" w:rsidP="00793E45">
      <w:pPr>
        <w:rPr>
          <w:rFonts w:ascii="Arial" w:hAnsi="Arial" w:cs="Arial"/>
          <w:b/>
          <w:bCs/>
        </w:rPr>
      </w:pPr>
      <w:r w:rsidRPr="00793E45">
        <w:rPr>
          <w:rFonts w:ascii="Arial" w:hAnsi="Arial" w:cs="Arial"/>
          <w:b/>
          <w:bCs/>
        </w:rPr>
        <w:t>Shoppers revert to pre-pandemic patterns</w:t>
      </w:r>
    </w:p>
    <w:p w14:paraId="5867B8F3" w14:textId="27C18F74" w:rsidR="00C76C7E" w:rsidRDefault="001F25AD" w:rsidP="001F25AD">
      <w:pPr>
        <w:rPr>
          <w:rFonts w:ascii="Arial" w:hAnsi="Arial" w:cs="Arial"/>
          <w:sz w:val="20"/>
          <w:szCs w:val="20"/>
        </w:rPr>
      </w:pPr>
      <w:r w:rsidRPr="001F25AD">
        <w:rPr>
          <w:rFonts w:ascii="Arial" w:hAnsi="Arial" w:cs="Arial"/>
          <w:sz w:val="20"/>
          <w:szCs w:val="20"/>
        </w:rPr>
        <w:t>The percentage of UK adults that have had a convenience occasion</w:t>
      </w:r>
      <w:r>
        <w:rPr>
          <w:rFonts w:ascii="Arial" w:hAnsi="Arial" w:cs="Arial"/>
          <w:sz w:val="20"/>
          <w:szCs w:val="20"/>
        </w:rPr>
        <w:t xml:space="preserve"> (delivery, in-store or click &amp; collect)</w:t>
      </w:r>
      <w:r w:rsidRPr="001F25AD">
        <w:rPr>
          <w:rFonts w:ascii="Arial" w:hAnsi="Arial" w:cs="Arial"/>
          <w:sz w:val="20"/>
          <w:szCs w:val="20"/>
        </w:rPr>
        <w:t xml:space="preserve"> stabilised at 64% in</w:t>
      </w:r>
      <w:r>
        <w:rPr>
          <w:rFonts w:ascii="Arial" w:hAnsi="Arial" w:cs="Arial"/>
          <w:sz w:val="20"/>
          <w:szCs w:val="20"/>
        </w:rPr>
        <w:t xml:space="preserve"> </w:t>
      </w:r>
      <w:r w:rsidRPr="001F25AD">
        <w:rPr>
          <w:rFonts w:ascii="Arial" w:hAnsi="Arial" w:cs="Arial"/>
          <w:sz w:val="20"/>
          <w:szCs w:val="20"/>
        </w:rPr>
        <w:t>May 2022, with basket spend and</w:t>
      </w:r>
      <w:r>
        <w:rPr>
          <w:rFonts w:ascii="Arial" w:hAnsi="Arial" w:cs="Arial"/>
          <w:sz w:val="20"/>
          <w:szCs w:val="20"/>
        </w:rPr>
        <w:t xml:space="preserve"> </w:t>
      </w:r>
      <w:r w:rsidRPr="001F25AD">
        <w:rPr>
          <w:rFonts w:ascii="Arial" w:hAnsi="Arial" w:cs="Arial"/>
          <w:sz w:val="20"/>
          <w:szCs w:val="20"/>
        </w:rPr>
        <w:t>basket size down 10.5% to £7.18</w:t>
      </w:r>
      <w:r>
        <w:rPr>
          <w:rFonts w:ascii="Arial" w:hAnsi="Arial" w:cs="Arial"/>
          <w:sz w:val="20"/>
          <w:szCs w:val="20"/>
        </w:rPr>
        <w:t xml:space="preserve"> </w:t>
      </w:r>
      <w:r w:rsidRPr="001F25AD">
        <w:rPr>
          <w:rFonts w:ascii="Arial" w:hAnsi="Arial" w:cs="Arial"/>
          <w:sz w:val="20"/>
          <w:szCs w:val="20"/>
        </w:rPr>
        <w:t>and 15.6% to 2.7 items year</w:t>
      </w:r>
      <w:r>
        <w:rPr>
          <w:rFonts w:ascii="Arial" w:hAnsi="Arial" w:cs="Arial"/>
          <w:sz w:val="20"/>
          <w:szCs w:val="20"/>
        </w:rPr>
        <w:t>-</w:t>
      </w:r>
      <w:r w:rsidRPr="001F25AD">
        <w:rPr>
          <w:rFonts w:ascii="Arial" w:hAnsi="Arial" w:cs="Arial"/>
          <w:sz w:val="20"/>
          <w:szCs w:val="20"/>
        </w:rPr>
        <w:t>on</w:t>
      </w:r>
      <w:r>
        <w:rPr>
          <w:rFonts w:ascii="Arial" w:hAnsi="Arial" w:cs="Arial"/>
          <w:sz w:val="20"/>
          <w:szCs w:val="20"/>
        </w:rPr>
        <w:t>-</w:t>
      </w:r>
      <w:r w:rsidRPr="001F25AD">
        <w:rPr>
          <w:rFonts w:ascii="Arial" w:hAnsi="Arial" w:cs="Arial"/>
          <w:sz w:val="20"/>
          <w:szCs w:val="20"/>
        </w:rPr>
        <w:t>year, respectively.</w:t>
      </w:r>
    </w:p>
    <w:p w14:paraId="72A75DDB" w14:textId="23D98F9C" w:rsidR="000A084D" w:rsidRDefault="000A084D" w:rsidP="000A084D">
      <w:pPr>
        <w:rPr>
          <w:rFonts w:ascii="Arial" w:hAnsi="Arial" w:cs="Arial"/>
          <w:sz w:val="20"/>
          <w:szCs w:val="20"/>
        </w:rPr>
      </w:pPr>
      <w:r w:rsidRPr="000A084D">
        <w:rPr>
          <w:rFonts w:ascii="Arial" w:hAnsi="Arial" w:cs="Arial"/>
          <w:sz w:val="20"/>
          <w:szCs w:val="20"/>
        </w:rPr>
        <w:t xml:space="preserve">Shoppers are </w:t>
      </w:r>
      <w:proofErr w:type="gramStart"/>
      <w:r w:rsidRPr="000A084D">
        <w:rPr>
          <w:rFonts w:ascii="Arial" w:hAnsi="Arial" w:cs="Arial"/>
          <w:sz w:val="20"/>
          <w:szCs w:val="20"/>
        </w:rPr>
        <w:t>reverting back</w:t>
      </w:r>
      <w:proofErr w:type="gramEnd"/>
      <w:r w:rsidRPr="000A084D">
        <w:rPr>
          <w:rFonts w:ascii="Arial" w:hAnsi="Arial" w:cs="Arial"/>
          <w:sz w:val="20"/>
          <w:szCs w:val="20"/>
        </w:rPr>
        <w:t xml:space="preserve"> to pre</w:t>
      </w:r>
      <w:r>
        <w:rPr>
          <w:rFonts w:ascii="Arial" w:hAnsi="Arial" w:cs="Arial"/>
          <w:sz w:val="20"/>
          <w:szCs w:val="20"/>
        </w:rPr>
        <w:t>-</w:t>
      </w:r>
      <w:r w:rsidRPr="000A084D">
        <w:rPr>
          <w:rFonts w:ascii="Arial" w:hAnsi="Arial" w:cs="Arial"/>
          <w:sz w:val="20"/>
          <w:szCs w:val="20"/>
        </w:rPr>
        <w:t>pandemic patterns</w:t>
      </w:r>
      <w:r>
        <w:rPr>
          <w:rFonts w:ascii="Arial" w:hAnsi="Arial" w:cs="Arial"/>
          <w:sz w:val="20"/>
          <w:szCs w:val="20"/>
        </w:rPr>
        <w:t>.</w:t>
      </w:r>
      <w:r w:rsidRPr="000A084D">
        <w:rPr>
          <w:rFonts w:ascii="Arial" w:hAnsi="Arial" w:cs="Arial"/>
          <w:sz w:val="20"/>
          <w:szCs w:val="20"/>
        </w:rPr>
        <w:t xml:space="preserve"> Planned top up missions are down</w:t>
      </w:r>
      <w:r>
        <w:rPr>
          <w:rFonts w:ascii="Arial" w:hAnsi="Arial" w:cs="Arial"/>
          <w:sz w:val="20"/>
          <w:szCs w:val="20"/>
        </w:rPr>
        <w:t xml:space="preserve"> -</w:t>
      </w:r>
      <w:r w:rsidRPr="000A084D">
        <w:rPr>
          <w:rFonts w:ascii="Arial" w:hAnsi="Arial" w:cs="Arial"/>
          <w:sz w:val="20"/>
          <w:szCs w:val="20"/>
        </w:rPr>
        <w:t>7.9ppts year on year, stabilising</w:t>
      </w:r>
      <w:r>
        <w:rPr>
          <w:rFonts w:ascii="Arial" w:hAnsi="Arial" w:cs="Arial"/>
          <w:sz w:val="20"/>
          <w:szCs w:val="20"/>
        </w:rPr>
        <w:t xml:space="preserve"> </w:t>
      </w:r>
      <w:r w:rsidRPr="000A084D">
        <w:rPr>
          <w:rFonts w:ascii="Arial" w:hAnsi="Arial" w:cs="Arial"/>
          <w:sz w:val="20"/>
          <w:szCs w:val="20"/>
        </w:rPr>
        <w:t>following a pandemic driven boost.</w:t>
      </w:r>
      <w:r>
        <w:rPr>
          <w:rFonts w:ascii="Arial" w:hAnsi="Arial" w:cs="Arial"/>
          <w:sz w:val="20"/>
          <w:szCs w:val="20"/>
        </w:rPr>
        <w:t xml:space="preserve"> However, positively, </w:t>
      </w:r>
      <w:r w:rsidRPr="000A084D">
        <w:rPr>
          <w:rFonts w:ascii="Arial" w:hAnsi="Arial" w:cs="Arial"/>
          <w:sz w:val="20"/>
          <w:szCs w:val="20"/>
        </w:rPr>
        <w:t>younger</w:t>
      </w:r>
      <w:r>
        <w:rPr>
          <w:rFonts w:ascii="Arial" w:hAnsi="Arial" w:cs="Arial"/>
          <w:sz w:val="20"/>
          <w:szCs w:val="20"/>
        </w:rPr>
        <w:t xml:space="preserve"> </w:t>
      </w:r>
      <w:r w:rsidRPr="000A084D">
        <w:rPr>
          <w:rFonts w:ascii="Arial" w:hAnsi="Arial" w:cs="Arial"/>
          <w:sz w:val="20"/>
          <w:szCs w:val="20"/>
        </w:rPr>
        <w:t>consumers traditionally under</w:t>
      </w:r>
      <w:r>
        <w:rPr>
          <w:rFonts w:ascii="Arial" w:hAnsi="Arial" w:cs="Arial"/>
          <w:sz w:val="20"/>
          <w:szCs w:val="20"/>
        </w:rPr>
        <w:t>-</w:t>
      </w:r>
      <w:r w:rsidRPr="000A084D">
        <w:rPr>
          <w:rFonts w:ascii="Arial" w:hAnsi="Arial" w:cs="Arial"/>
          <w:sz w:val="20"/>
          <w:szCs w:val="20"/>
        </w:rPr>
        <w:t>performing in convenience have</w:t>
      </w:r>
      <w:r>
        <w:rPr>
          <w:rFonts w:ascii="Arial" w:hAnsi="Arial" w:cs="Arial"/>
          <w:sz w:val="20"/>
          <w:szCs w:val="20"/>
        </w:rPr>
        <w:t xml:space="preserve"> </w:t>
      </w:r>
      <w:r w:rsidRPr="000A084D">
        <w:rPr>
          <w:rFonts w:ascii="Arial" w:hAnsi="Arial" w:cs="Arial"/>
          <w:sz w:val="20"/>
          <w:szCs w:val="20"/>
        </w:rPr>
        <w:t>been retained year on year.</w:t>
      </w:r>
    </w:p>
    <w:p w14:paraId="48EB9E92" w14:textId="2BECE9B8" w:rsidR="000A084D" w:rsidRDefault="001016E5" w:rsidP="001016E5">
      <w:pPr>
        <w:rPr>
          <w:rFonts w:ascii="Arial" w:hAnsi="Arial" w:cs="Arial"/>
          <w:sz w:val="20"/>
          <w:szCs w:val="20"/>
        </w:rPr>
      </w:pPr>
      <w:r w:rsidRPr="001016E5">
        <w:rPr>
          <w:rFonts w:ascii="Arial" w:hAnsi="Arial" w:cs="Arial"/>
          <w:b/>
          <w:bCs/>
        </w:rPr>
        <w:t>Delivery accounts for 7% of all c</w:t>
      </w:r>
      <w:r>
        <w:rPr>
          <w:rFonts w:ascii="Arial" w:hAnsi="Arial" w:cs="Arial"/>
          <w:b/>
          <w:bCs/>
        </w:rPr>
        <w:t>-</w:t>
      </w:r>
      <w:r w:rsidRPr="001016E5">
        <w:rPr>
          <w:rFonts w:ascii="Arial" w:hAnsi="Arial" w:cs="Arial"/>
          <w:b/>
          <w:bCs/>
        </w:rPr>
        <w:t>store occasions</w:t>
      </w:r>
    </w:p>
    <w:p w14:paraId="3979FD0A" w14:textId="1233A56E" w:rsidR="001016E5" w:rsidRDefault="001016E5" w:rsidP="001016E5">
      <w:pPr>
        <w:rPr>
          <w:rFonts w:ascii="Arial" w:hAnsi="Arial" w:cs="Arial"/>
          <w:sz w:val="20"/>
          <w:szCs w:val="20"/>
        </w:rPr>
      </w:pPr>
      <w:r>
        <w:rPr>
          <w:rFonts w:ascii="Arial" w:hAnsi="Arial" w:cs="Arial"/>
          <w:sz w:val="20"/>
          <w:szCs w:val="20"/>
        </w:rPr>
        <w:t>The pandemic accelerated growth in delivered convenience store occasions, with shoppers limiting the need to leave home and visit crowded places. Despite restrictions easing, d</w:t>
      </w:r>
      <w:r w:rsidRPr="001016E5">
        <w:rPr>
          <w:rFonts w:ascii="Arial" w:hAnsi="Arial" w:cs="Arial"/>
          <w:sz w:val="20"/>
          <w:szCs w:val="20"/>
        </w:rPr>
        <w:t xml:space="preserve">elivery occasions have </w:t>
      </w:r>
      <w:r>
        <w:rPr>
          <w:rFonts w:ascii="Arial" w:hAnsi="Arial" w:cs="Arial"/>
          <w:sz w:val="20"/>
          <w:szCs w:val="20"/>
        </w:rPr>
        <w:t xml:space="preserve">only declined by -1.6ppts year-on-year and now account for 6.8% of total convenience occasions. </w:t>
      </w:r>
    </w:p>
    <w:p w14:paraId="74889962" w14:textId="0884B52D" w:rsidR="000A084D" w:rsidRDefault="001016E5" w:rsidP="00C76C7E">
      <w:pPr>
        <w:rPr>
          <w:rFonts w:ascii="Arial" w:hAnsi="Arial" w:cs="Arial"/>
          <w:sz w:val="20"/>
          <w:szCs w:val="20"/>
        </w:rPr>
      </w:pPr>
      <w:r w:rsidRPr="001016E5">
        <w:rPr>
          <w:rFonts w:ascii="Arial" w:hAnsi="Arial" w:cs="Arial"/>
          <w:sz w:val="20"/>
          <w:szCs w:val="20"/>
        </w:rPr>
        <w:t>The delivered route to market attracts valuable shoppers with higher frequency</w:t>
      </w:r>
      <w:r>
        <w:rPr>
          <w:rFonts w:ascii="Arial" w:hAnsi="Arial" w:cs="Arial"/>
          <w:sz w:val="20"/>
          <w:szCs w:val="20"/>
        </w:rPr>
        <w:t xml:space="preserve"> (+37%)</w:t>
      </w:r>
      <w:r w:rsidRPr="001016E5">
        <w:rPr>
          <w:rFonts w:ascii="Arial" w:hAnsi="Arial" w:cs="Arial"/>
          <w:sz w:val="20"/>
          <w:szCs w:val="20"/>
        </w:rPr>
        <w:t>, basket sizes</w:t>
      </w:r>
      <w:r>
        <w:rPr>
          <w:rFonts w:ascii="Arial" w:hAnsi="Arial" w:cs="Arial"/>
          <w:sz w:val="20"/>
          <w:szCs w:val="20"/>
        </w:rPr>
        <w:t xml:space="preserve"> (+48%)</w:t>
      </w:r>
      <w:r w:rsidRPr="001016E5">
        <w:rPr>
          <w:rFonts w:ascii="Arial" w:hAnsi="Arial" w:cs="Arial"/>
          <w:sz w:val="20"/>
          <w:szCs w:val="20"/>
        </w:rPr>
        <w:t xml:space="preserve"> and average spends</w:t>
      </w:r>
      <w:r>
        <w:rPr>
          <w:rFonts w:ascii="Arial" w:hAnsi="Arial" w:cs="Arial"/>
          <w:sz w:val="20"/>
          <w:szCs w:val="20"/>
        </w:rPr>
        <w:t xml:space="preserve"> (+134%) versus in-store shoppers</w:t>
      </w:r>
      <w:r w:rsidRPr="001016E5">
        <w:rPr>
          <w:rFonts w:ascii="Arial" w:hAnsi="Arial" w:cs="Arial"/>
          <w:sz w:val="20"/>
          <w:szCs w:val="20"/>
        </w:rPr>
        <w:t>.</w:t>
      </w:r>
      <w:r>
        <w:rPr>
          <w:rFonts w:ascii="Arial" w:hAnsi="Arial" w:cs="Arial"/>
          <w:sz w:val="20"/>
          <w:szCs w:val="20"/>
        </w:rPr>
        <w:t xml:space="preserve"> </w:t>
      </w:r>
    </w:p>
    <w:p w14:paraId="662724BC" w14:textId="3E69A11F" w:rsidR="001016E5" w:rsidRPr="001016E5" w:rsidRDefault="001016E5" w:rsidP="00C76C7E">
      <w:pPr>
        <w:rPr>
          <w:rFonts w:ascii="Arial" w:hAnsi="Arial" w:cs="Arial"/>
          <w:b/>
          <w:bCs/>
        </w:rPr>
      </w:pPr>
      <w:r>
        <w:rPr>
          <w:rFonts w:ascii="Arial" w:hAnsi="Arial" w:cs="Arial"/>
          <w:b/>
          <w:bCs/>
        </w:rPr>
        <w:t>HFSS</w:t>
      </w:r>
      <w:r w:rsidRPr="001016E5">
        <w:rPr>
          <w:rFonts w:ascii="Arial" w:hAnsi="Arial" w:cs="Arial"/>
          <w:b/>
          <w:bCs/>
        </w:rPr>
        <w:t xml:space="preserve"> location restrictions to impact 47% of purchases</w:t>
      </w:r>
    </w:p>
    <w:p w14:paraId="33C57828" w14:textId="0252887B" w:rsidR="000A084D" w:rsidRDefault="000A4433" w:rsidP="00C76C7E">
      <w:pPr>
        <w:rPr>
          <w:rFonts w:ascii="Arial" w:hAnsi="Arial" w:cs="Arial"/>
          <w:sz w:val="20"/>
          <w:szCs w:val="20"/>
        </w:rPr>
      </w:pPr>
      <w:r>
        <w:rPr>
          <w:rFonts w:ascii="Arial" w:hAnsi="Arial" w:cs="Arial"/>
          <w:sz w:val="20"/>
          <w:szCs w:val="20"/>
        </w:rPr>
        <w:t>Percentage of HFSS purchases made from locations set to be restricted by HFSS:</w:t>
      </w:r>
    </w:p>
    <w:tbl>
      <w:tblPr>
        <w:tblStyle w:val="TableGrid"/>
        <w:tblW w:w="0" w:type="auto"/>
        <w:tblLook w:val="04A0" w:firstRow="1" w:lastRow="0" w:firstColumn="1" w:lastColumn="0" w:noHBand="0" w:noVBand="1"/>
      </w:tblPr>
      <w:tblGrid>
        <w:gridCol w:w="3114"/>
        <w:gridCol w:w="5902"/>
      </w:tblGrid>
      <w:tr w:rsidR="000A4433" w14:paraId="69421D94" w14:textId="77777777" w:rsidTr="000A4433">
        <w:tc>
          <w:tcPr>
            <w:tcW w:w="3114" w:type="dxa"/>
          </w:tcPr>
          <w:p w14:paraId="19216DC2" w14:textId="45A00596" w:rsidR="000A4433" w:rsidRDefault="000A4433" w:rsidP="000A4433">
            <w:pPr>
              <w:rPr>
                <w:rFonts w:ascii="Arial" w:hAnsi="Arial" w:cs="Arial"/>
                <w:sz w:val="20"/>
                <w:szCs w:val="20"/>
              </w:rPr>
            </w:pPr>
            <w:r w:rsidRPr="000A4433">
              <w:rPr>
                <w:rFonts w:ascii="Arial" w:hAnsi="Arial" w:cs="Arial"/>
                <w:sz w:val="20"/>
                <w:szCs w:val="20"/>
              </w:rPr>
              <w:t>Display on the</w:t>
            </w:r>
            <w:r>
              <w:rPr>
                <w:rFonts w:ascii="Arial" w:hAnsi="Arial" w:cs="Arial"/>
                <w:sz w:val="20"/>
                <w:szCs w:val="20"/>
              </w:rPr>
              <w:t xml:space="preserve"> </w:t>
            </w:r>
            <w:r w:rsidRPr="000A4433">
              <w:rPr>
                <w:rFonts w:ascii="Arial" w:hAnsi="Arial" w:cs="Arial"/>
                <w:sz w:val="20"/>
                <w:szCs w:val="20"/>
              </w:rPr>
              <w:t>end of an aisle</w:t>
            </w:r>
          </w:p>
        </w:tc>
        <w:tc>
          <w:tcPr>
            <w:tcW w:w="5902" w:type="dxa"/>
          </w:tcPr>
          <w:p w14:paraId="327C652C" w14:textId="0C81A137" w:rsidR="000A4433" w:rsidRDefault="000A4433" w:rsidP="00C76C7E">
            <w:pPr>
              <w:rPr>
                <w:rFonts w:ascii="Arial" w:hAnsi="Arial" w:cs="Arial"/>
                <w:sz w:val="20"/>
                <w:szCs w:val="20"/>
              </w:rPr>
            </w:pPr>
            <w:r>
              <w:rPr>
                <w:rFonts w:ascii="Arial" w:hAnsi="Arial" w:cs="Arial"/>
                <w:sz w:val="20"/>
                <w:szCs w:val="20"/>
              </w:rPr>
              <w:t>23%</w:t>
            </w:r>
          </w:p>
        </w:tc>
      </w:tr>
      <w:tr w:rsidR="000A4433" w14:paraId="40B7D387" w14:textId="77777777" w:rsidTr="000A4433">
        <w:tc>
          <w:tcPr>
            <w:tcW w:w="3114" w:type="dxa"/>
          </w:tcPr>
          <w:p w14:paraId="28759361" w14:textId="74DA71B0" w:rsidR="000A4433" w:rsidRDefault="000A4433" w:rsidP="000A4433">
            <w:pPr>
              <w:rPr>
                <w:rFonts w:ascii="Arial" w:hAnsi="Arial" w:cs="Arial"/>
                <w:sz w:val="20"/>
                <w:szCs w:val="20"/>
              </w:rPr>
            </w:pPr>
            <w:r w:rsidRPr="000A4433">
              <w:rPr>
                <w:rFonts w:ascii="Arial" w:hAnsi="Arial" w:cs="Arial"/>
                <w:sz w:val="20"/>
                <w:szCs w:val="20"/>
              </w:rPr>
              <w:t>Display at the</w:t>
            </w:r>
            <w:r>
              <w:rPr>
                <w:rFonts w:ascii="Arial" w:hAnsi="Arial" w:cs="Arial"/>
                <w:sz w:val="20"/>
                <w:szCs w:val="20"/>
              </w:rPr>
              <w:t xml:space="preserve"> </w:t>
            </w:r>
            <w:r w:rsidRPr="000A4433">
              <w:rPr>
                <w:rFonts w:ascii="Arial" w:hAnsi="Arial" w:cs="Arial"/>
                <w:sz w:val="20"/>
                <w:szCs w:val="20"/>
              </w:rPr>
              <w:t>front of the store</w:t>
            </w:r>
          </w:p>
        </w:tc>
        <w:tc>
          <w:tcPr>
            <w:tcW w:w="5902" w:type="dxa"/>
          </w:tcPr>
          <w:p w14:paraId="41A3B732" w14:textId="732B3488" w:rsidR="000A4433" w:rsidRDefault="000A4433" w:rsidP="00C76C7E">
            <w:pPr>
              <w:rPr>
                <w:rFonts w:ascii="Arial" w:hAnsi="Arial" w:cs="Arial"/>
                <w:sz w:val="20"/>
                <w:szCs w:val="20"/>
              </w:rPr>
            </w:pPr>
            <w:r>
              <w:rPr>
                <w:rFonts w:ascii="Arial" w:hAnsi="Arial" w:cs="Arial"/>
                <w:sz w:val="20"/>
                <w:szCs w:val="20"/>
              </w:rPr>
              <w:t>12%</w:t>
            </w:r>
          </w:p>
        </w:tc>
      </w:tr>
      <w:tr w:rsidR="000A4433" w14:paraId="4386540A" w14:textId="77777777" w:rsidTr="000A4433">
        <w:tc>
          <w:tcPr>
            <w:tcW w:w="3114" w:type="dxa"/>
          </w:tcPr>
          <w:p w14:paraId="673ABE21" w14:textId="7E87DA44" w:rsidR="000A4433" w:rsidRDefault="000A4433" w:rsidP="00C76C7E">
            <w:pPr>
              <w:rPr>
                <w:rFonts w:ascii="Arial" w:hAnsi="Arial" w:cs="Arial"/>
                <w:sz w:val="20"/>
                <w:szCs w:val="20"/>
              </w:rPr>
            </w:pPr>
            <w:r w:rsidRPr="000A4433">
              <w:rPr>
                <w:rFonts w:ascii="Arial" w:hAnsi="Arial" w:cs="Arial"/>
                <w:sz w:val="20"/>
                <w:szCs w:val="20"/>
              </w:rPr>
              <w:t>Display at the till</w:t>
            </w:r>
          </w:p>
        </w:tc>
        <w:tc>
          <w:tcPr>
            <w:tcW w:w="5902" w:type="dxa"/>
          </w:tcPr>
          <w:p w14:paraId="539CDAE5" w14:textId="07DAD05B" w:rsidR="000A4433" w:rsidRDefault="000A4433" w:rsidP="00C76C7E">
            <w:pPr>
              <w:rPr>
                <w:rFonts w:ascii="Arial" w:hAnsi="Arial" w:cs="Arial"/>
                <w:sz w:val="20"/>
                <w:szCs w:val="20"/>
              </w:rPr>
            </w:pPr>
            <w:r>
              <w:rPr>
                <w:rFonts w:ascii="Arial" w:hAnsi="Arial" w:cs="Arial"/>
                <w:sz w:val="20"/>
                <w:szCs w:val="20"/>
              </w:rPr>
              <w:t>9%</w:t>
            </w:r>
          </w:p>
        </w:tc>
      </w:tr>
      <w:tr w:rsidR="000A4433" w14:paraId="224DB46D" w14:textId="77777777" w:rsidTr="000A4433">
        <w:tc>
          <w:tcPr>
            <w:tcW w:w="3114" w:type="dxa"/>
          </w:tcPr>
          <w:p w14:paraId="1352DD1A" w14:textId="1AD3A44E" w:rsidR="000A4433" w:rsidRDefault="000A4433" w:rsidP="000A4433">
            <w:pPr>
              <w:rPr>
                <w:rFonts w:ascii="Arial" w:hAnsi="Arial" w:cs="Arial"/>
                <w:sz w:val="20"/>
                <w:szCs w:val="20"/>
              </w:rPr>
            </w:pPr>
            <w:r w:rsidRPr="000A4433">
              <w:rPr>
                <w:rFonts w:ascii="Arial" w:hAnsi="Arial" w:cs="Arial"/>
                <w:sz w:val="20"/>
                <w:szCs w:val="20"/>
              </w:rPr>
              <w:t>Display within</w:t>
            </w:r>
            <w:r>
              <w:rPr>
                <w:rFonts w:ascii="Arial" w:hAnsi="Arial" w:cs="Arial"/>
                <w:sz w:val="20"/>
                <w:szCs w:val="20"/>
              </w:rPr>
              <w:t xml:space="preserve"> </w:t>
            </w:r>
            <w:r w:rsidRPr="000A4433">
              <w:rPr>
                <w:rFonts w:ascii="Arial" w:hAnsi="Arial" w:cs="Arial"/>
                <w:sz w:val="20"/>
                <w:szCs w:val="20"/>
              </w:rPr>
              <w:t>the queue</w:t>
            </w:r>
            <w:r>
              <w:rPr>
                <w:rFonts w:ascii="Arial" w:hAnsi="Arial" w:cs="Arial"/>
                <w:sz w:val="20"/>
                <w:szCs w:val="20"/>
              </w:rPr>
              <w:t xml:space="preserve"> </w:t>
            </w:r>
            <w:r w:rsidRPr="000A4433">
              <w:rPr>
                <w:rFonts w:ascii="Arial" w:hAnsi="Arial" w:cs="Arial"/>
                <w:sz w:val="20"/>
                <w:szCs w:val="20"/>
              </w:rPr>
              <w:t>system</w:t>
            </w:r>
          </w:p>
        </w:tc>
        <w:tc>
          <w:tcPr>
            <w:tcW w:w="5902" w:type="dxa"/>
          </w:tcPr>
          <w:p w14:paraId="6CF8DD46" w14:textId="42528D43" w:rsidR="000A4433" w:rsidRDefault="000A4433" w:rsidP="00C76C7E">
            <w:pPr>
              <w:rPr>
                <w:rFonts w:ascii="Arial" w:hAnsi="Arial" w:cs="Arial"/>
                <w:sz w:val="20"/>
                <w:szCs w:val="20"/>
              </w:rPr>
            </w:pPr>
            <w:r>
              <w:rPr>
                <w:rFonts w:ascii="Arial" w:hAnsi="Arial" w:cs="Arial"/>
                <w:sz w:val="20"/>
                <w:szCs w:val="20"/>
              </w:rPr>
              <w:t>3%</w:t>
            </w:r>
          </w:p>
        </w:tc>
      </w:tr>
    </w:tbl>
    <w:p w14:paraId="563DE1A0" w14:textId="334A867D" w:rsidR="000A4433" w:rsidRDefault="000A4433" w:rsidP="00C76C7E">
      <w:pPr>
        <w:rPr>
          <w:rFonts w:ascii="Arial" w:hAnsi="Arial" w:cs="Arial"/>
          <w:sz w:val="20"/>
          <w:szCs w:val="20"/>
        </w:rPr>
      </w:pPr>
    </w:p>
    <w:p w14:paraId="4D163EE8" w14:textId="1F8F0BF4" w:rsidR="000A4433" w:rsidRDefault="00C3589F" w:rsidP="000A4433">
      <w:pPr>
        <w:rPr>
          <w:rFonts w:ascii="Arial" w:hAnsi="Arial" w:cs="Arial"/>
          <w:sz w:val="20"/>
          <w:szCs w:val="20"/>
        </w:rPr>
      </w:pPr>
      <w:r w:rsidRPr="00C3589F">
        <w:rPr>
          <w:rFonts w:ascii="Arial" w:hAnsi="Arial" w:cs="Arial"/>
          <w:sz w:val="20"/>
          <w:szCs w:val="20"/>
        </w:rPr>
        <w:t>Confectionary is most at risk, over indexing in HFSS restricted locations, which accounts for 53% of purchases</w:t>
      </w:r>
      <w:r>
        <w:rPr>
          <w:rFonts w:ascii="Arial" w:hAnsi="Arial" w:cs="Arial"/>
          <w:sz w:val="20"/>
          <w:szCs w:val="20"/>
        </w:rPr>
        <w:t>.</w:t>
      </w:r>
      <w:r w:rsidRPr="00C3589F">
        <w:rPr>
          <w:rFonts w:ascii="Arial" w:hAnsi="Arial" w:cs="Arial"/>
          <w:sz w:val="20"/>
          <w:szCs w:val="20"/>
        </w:rPr>
        <w:t xml:space="preserve"> </w:t>
      </w:r>
      <w:r w:rsidR="000A4433" w:rsidRPr="000A4433">
        <w:rPr>
          <w:rFonts w:ascii="Arial" w:hAnsi="Arial" w:cs="Arial"/>
          <w:sz w:val="20"/>
          <w:szCs w:val="20"/>
        </w:rPr>
        <w:t>Signposting in store will be important to guide consumers in aisle to the products on the main shelf. Reformatting stores in</w:t>
      </w:r>
      <w:r w:rsidR="000A4433">
        <w:rPr>
          <w:rFonts w:ascii="Arial" w:hAnsi="Arial" w:cs="Arial"/>
          <w:sz w:val="20"/>
          <w:szCs w:val="20"/>
        </w:rPr>
        <w:t xml:space="preserve"> </w:t>
      </w:r>
      <w:r w:rsidR="000A4433" w:rsidRPr="000A4433">
        <w:rPr>
          <w:rFonts w:ascii="Arial" w:hAnsi="Arial" w:cs="Arial"/>
          <w:sz w:val="20"/>
          <w:szCs w:val="20"/>
        </w:rPr>
        <w:t>order to place HFSS products near categories with a high footfall, such as bread, eggs or milk will help maintain sales; or moving these</w:t>
      </w:r>
      <w:r w:rsidR="000A4433">
        <w:rPr>
          <w:rFonts w:ascii="Arial" w:hAnsi="Arial" w:cs="Arial"/>
          <w:sz w:val="20"/>
          <w:szCs w:val="20"/>
        </w:rPr>
        <w:t xml:space="preserve"> </w:t>
      </w:r>
      <w:r w:rsidR="000A4433" w:rsidRPr="000A4433">
        <w:rPr>
          <w:rFonts w:ascii="Arial" w:hAnsi="Arial" w:cs="Arial"/>
          <w:sz w:val="20"/>
          <w:szCs w:val="20"/>
        </w:rPr>
        <w:t>items to the back of store could force shoppers to walk through aisles with HFSS products.</w:t>
      </w:r>
    </w:p>
    <w:p w14:paraId="40BA5778" w14:textId="2804622D" w:rsidR="000A4433" w:rsidRPr="000A4433" w:rsidRDefault="000A4433" w:rsidP="00C76C7E">
      <w:pPr>
        <w:rPr>
          <w:rFonts w:ascii="Arial" w:hAnsi="Arial" w:cs="Arial"/>
          <w:b/>
          <w:bCs/>
        </w:rPr>
      </w:pPr>
      <w:r w:rsidRPr="000A4433">
        <w:rPr>
          <w:rFonts w:ascii="Arial" w:hAnsi="Arial" w:cs="Arial"/>
          <w:b/>
          <w:bCs/>
        </w:rPr>
        <w:t>Discounters win as cost of living rises</w:t>
      </w:r>
    </w:p>
    <w:p w14:paraId="55C02C46" w14:textId="580E5D4A" w:rsidR="000A4433" w:rsidRDefault="00862EB2" w:rsidP="00862EB2">
      <w:pPr>
        <w:rPr>
          <w:rFonts w:ascii="Arial" w:hAnsi="Arial" w:cs="Arial"/>
          <w:sz w:val="20"/>
          <w:szCs w:val="20"/>
        </w:rPr>
      </w:pPr>
      <w:r w:rsidRPr="00862EB2">
        <w:rPr>
          <w:rFonts w:ascii="Arial" w:hAnsi="Arial" w:cs="Arial"/>
          <w:sz w:val="20"/>
          <w:szCs w:val="20"/>
        </w:rPr>
        <w:t>There has been a notable uplift in convenience shoppers also visiting discounter stores, driven by increased price sensitivity.</w:t>
      </w:r>
      <w:r w:rsidR="009F27C3">
        <w:rPr>
          <w:rFonts w:ascii="Arial" w:hAnsi="Arial" w:cs="Arial"/>
          <w:sz w:val="20"/>
          <w:szCs w:val="20"/>
        </w:rPr>
        <w:t xml:space="preserve"> In the </w:t>
      </w:r>
      <w:r w:rsidR="009F27C3" w:rsidRPr="009F27C3">
        <w:rPr>
          <w:rFonts w:ascii="Arial" w:hAnsi="Arial" w:cs="Arial"/>
          <w:sz w:val="20"/>
          <w:szCs w:val="20"/>
        </w:rPr>
        <w:t>12 WE 06/03/22</w:t>
      </w:r>
      <w:r w:rsidR="009F27C3">
        <w:rPr>
          <w:rFonts w:ascii="Arial" w:hAnsi="Arial" w:cs="Arial"/>
          <w:sz w:val="20"/>
          <w:szCs w:val="20"/>
        </w:rPr>
        <w:t xml:space="preserve"> 30.5% of convenience store shoppers also shopped in a discounter each week. In our most recent data (</w:t>
      </w:r>
      <w:r w:rsidR="009F27C3" w:rsidRPr="009F27C3">
        <w:rPr>
          <w:rFonts w:ascii="Arial" w:hAnsi="Arial" w:cs="Arial"/>
          <w:sz w:val="20"/>
          <w:szCs w:val="20"/>
        </w:rPr>
        <w:t>12 WE 29/05/22</w:t>
      </w:r>
      <w:r w:rsidR="009F27C3">
        <w:rPr>
          <w:rFonts w:ascii="Arial" w:hAnsi="Arial" w:cs="Arial"/>
          <w:sz w:val="20"/>
          <w:szCs w:val="20"/>
        </w:rPr>
        <w:t>), this increased by +2.7ppts to 33.2%.</w:t>
      </w:r>
    </w:p>
    <w:p w14:paraId="3A1DB2AE" w14:textId="6EE1367C" w:rsidR="009F27C3" w:rsidRPr="009F27C3" w:rsidRDefault="009F27C3" w:rsidP="009F27C3">
      <w:pPr>
        <w:rPr>
          <w:rFonts w:ascii="Arial" w:hAnsi="Arial" w:cs="Arial"/>
          <w:b/>
          <w:bCs/>
        </w:rPr>
      </w:pPr>
      <w:r w:rsidRPr="009F27C3">
        <w:rPr>
          <w:rFonts w:ascii="Arial" w:hAnsi="Arial" w:cs="Arial"/>
          <w:b/>
          <w:bCs/>
        </w:rPr>
        <w:t>U</w:t>
      </w:r>
      <w:r>
        <w:rPr>
          <w:rFonts w:ascii="Arial" w:hAnsi="Arial" w:cs="Arial"/>
          <w:b/>
          <w:bCs/>
        </w:rPr>
        <w:t>K</w:t>
      </w:r>
      <w:r w:rsidRPr="009F27C3">
        <w:rPr>
          <w:rFonts w:ascii="Arial" w:hAnsi="Arial" w:cs="Arial"/>
          <w:b/>
          <w:bCs/>
        </w:rPr>
        <w:t xml:space="preserve"> convenience to grow by +£3.4bn from 2022-2025</w:t>
      </w:r>
    </w:p>
    <w:p w14:paraId="1A62E89A" w14:textId="6636923E" w:rsidR="000A4433" w:rsidRDefault="009F27C3" w:rsidP="009F27C3">
      <w:pPr>
        <w:rPr>
          <w:rFonts w:ascii="Arial" w:hAnsi="Arial" w:cs="Arial"/>
          <w:sz w:val="20"/>
          <w:szCs w:val="20"/>
        </w:rPr>
      </w:pPr>
      <w:r w:rsidRPr="009F27C3">
        <w:rPr>
          <w:rFonts w:ascii="Arial" w:hAnsi="Arial" w:cs="Arial"/>
          <w:sz w:val="20"/>
          <w:szCs w:val="20"/>
        </w:rPr>
        <w:t>The convenience market is</w:t>
      </w:r>
      <w:r>
        <w:rPr>
          <w:rFonts w:ascii="Arial" w:hAnsi="Arial" w:cs="Arial"/>
          <w:sz w:val="20"/>
          <w:szCs w:val="20"/>
        </w:rPr>
        <w:t xml:space="preserve"> </w:t>
      </w:r>
      <w:r w:rsidRPr="009F27C3">
        <w:rPr>
          <w:rFonts w:ascii="Arial" w:hAnsi="Arial" w:cs="Arial"/>
          <w:sz w:val="20"/>
          <w:szCs w:val="20"/>
        </w:rPr>
        <w:t>expected to total £48.6bn in 2025</w:t>
      </w:r>
      <w:r>
        <w:rPr>
          <w:rFonts w:ascii="Arial" w:hAnsi="Arial" w:cs="Arial"/>
          <w:sz w:val="20"/>
          <w:szCs w:val="20"/>
        </w:rPr>
        <w:t xml:space="preserve">, with </w:t>
      </w:r>
      <w:r w:rsidRPr="009F27C3">
        <w:rPr>
          <w:rFonts w:ascii="Arial" w:hAnsi="Arial" w:cs="Arial"/>
          <w:sz w:val="20"/>
          <w:szCs w:val="20"/>
        </w:rPr>
        <w:t>a compound annual growth rate</w:t>
      </w:r>
      <w:r>
        <w:rPr>
          <w:rFonts w:ascii="Arial" w:hAnsi="Arial" w:cs="Arial"/>
          <w:sz w:val="20"/>
          <w:szCs w:val="20"/>
        </w:rPr>
        <w:t xml:space="preserve"> </w:t>
      </w:r>
      <w:r w:rsidRPr="009F27C3">
        <w:rPr>
          <w:rFonts w:ascii="Arial" w:hAnsi="Arial" w:cs="Arial"/>
          <w:sz w:val="20"/>
          <w:szCs w:val="20"/>
        </w:rPr>
        <w:t>(CAGR) of +2.6%</w:t>
      </w:r>
      <w:r>
        <w:rPr>
          <w:rFonts w:ascii="Arial" w:hAnsi="Arial" w:cs="Arial"/>
          <w:sz w:val="20"/>
          <w:szCs w:val="20"/>
        </w:rPr>
        <w:t xml:space="preserve"> forecast between</w:t>
      </w:r>
      <w:r w:rsidRPr="009F27C3">
        <w:rPr>
          <w:rFonts w:ascii="Arial" w:hAnsi="Arial" w:cs="Arial"/>
          <w:sz w:val="20"/>
          <w:szCs w:val="20"/>
        </w:rPr>
        <w:t xml:space="preserve"> 2022</w:t>
      </w:r>
      <w:r>
        <w:rPr>
          <w:rFonts w:ascii="Arial" w:hAnsi="Arial" w:cs="Arial"/>
          <w:sz w:val="20"/>
          <w:szCs w:val="20"/>
        </w:rPr>
        <w:t>-</w:t>
      </w:r>
      <w:r w:rsidRPr="009F27C3">
        <w:rPr>
          <w:rFonts w:ascii="Arial" w:hAnsi="Arial" w:cs="Arial"/>
          <w:sz w:val="20"/>
          <w:szCs w:val="20"/>
        </w:rPr>
        <w:t>2025</w:t>
      </w:r>
      <w:r>
        <w:rPr>
          <w:rFonts w:ascii="Arial" w:hAnsi="Arial" w:cs="Arial"/>
          <w:sz w:val="20"/>
          <w:szCs w:val="20"/>
        </w:rPr>
        <w:t>.</w:t>
      </w:r>
    </w:p>
    <w:p w14:paraId="7D5C3DA5" w14:textId="77777777" w:rsidR="008E4C24" w:rsidRDefault="009400D0" w:rsidP="008E4C24">
      <w:pPr>
        <w:rPr>
          <w:rFonts w:ascii="Arial" w:hAnsi="Arial" w:cs="Arial"/>
          <w:i/>
          <w:iCs/>
          <w:sz w:val="20"/>
          <w:szCs w:val="20"/>
        </w:rPr>
      </w:pPr>
      <w:r w:rsidRPr="009400D0">
        <w:rPr>
          <w:rFonts w:ascii="Arial" w:hAnsi="Arial" w:cs="Arial"/>
          <w:sz w:val="20"/>
          <w:szCs w:val="20"/>
        </w:rPr>
        <w:t xml:space="preserve">Commenting on the </w:t>
      </w:r>
      <w:r w:rsidR="009F27C3">
        <w:rPr>
          <w:rFonts w:ascii="Arial" w:hAnsi="Arial" w:cs="Arial"/>
          <w:sz w:val="20"/>
          <w:szCs w:val="20"/>
        </w:rPr>
        <w:t>findings</w:t>
      </w:r>
      <w:r w:rsidRPr="009400D0">
        <w:rPr>
          <w:rFonts w:ascii="Arial" w:hAnsi="Arial" w:cs="Arial"/>
          <w:sz w:val="20"/>
          <w:szCs w:val="20"/>
        </w:rPr>
        <w:t>,</w:t>
      </w:r>
      <w:r w:rsidR="006D5EEC">
        <w:rPr>
          <w:rFonts w:ascii="Arial" w:hAnsi="Arial" w:cs="Arial"/>
          <w:sz w:val="20"/>
          <w:szCs w:val="20"/>
        </w:rPr>
        <w:t xml:space="preserve"> </w:t>
      </w:r>
      <w:r w:rsidR="006301EC">
        <w:rPr>
          <w:rFonts w:ascii="Arial" w:hAnsi="Arial" w:cs="Arial"/>
          <w:sz w:val="20"/>
          <w:szCs w:val="20"/>
        </w:rPr>
        <w:t>Insight Director</w:t>
      </w:r>
      <w:r w:rsidRPr="009400D0">
        <w:rPr>
          <w:rFonts w:ascii="Arial" w:hAnsi="Arial" w:cs="Arial"/>
          <w:sz w:val="20"/>
          <w:szCs w:val="20"/>
        </w:rPr>
        <w:t xml:space="preserve"> at Lumina Intelligence, </w:t>
      </w:r>
      <w:r w:rsidR="00AB7763">
        <w:rPr>
          <w:rFonts w:ascii="Arial" w:hAnsi="Arial" w:cs="Arial"/>
          <w:sz w:val="20"/>
          <w:szCs w:val="20"/>
        </w:rPr>
        <w:t>Blonnie Whist</w:t>
      </w:r>
      <w:r w:rsidRPr="009400D0">
        <w:rPr>
          <w:rFonts w:ascii="Arial" w:hAnsi="Arial" w:cs="Arial"/>
          <w:sz w:val="20"/>
          <w:szCs w:val="20"/>
        </w:rPr>
        <w:t xml:space="preserve">, said: </w:t>
      </w:r>
      <w:r w:rsidRPr="00AB7763">
        <w:rPr>
          <w:rFonts w:ascii="Arial" w:hAnsi="Arial" w:cs="Arial"/>
          <w:sz w:val="20"/>
          <w:szCs w:val="20"/>
        </w:rPr>
        <w:t>“</w:t>
      </w:r>
      <w:r w:rsidR="00157150" w:rsidRPr="008E4C24">
        <w:rPr>
          <w:rFonts w:ascii="Arial" w:hAnsi="Arial" w:cs="Arial"/>
          <w:i/>
          <w:iCs/>
          <w:sz w:val="20"/>
          <w:szCs w:val="20"/>
        </w:rPr>
        <w:t>UK convenience retail remains in a strong position. Despite cost of living challenges, the market will benefit from a resurgence in on the go missions in 2022, as shoppers seek more accessibly priced options compared to foodservice channels.</w:t>
      </w:r>
      <w:r w:rsidR="008E4C24" w:rsidRPr="008E4C24">
        <w:t xml:space="preserve"> </w:t>
      </w:r>
      <w:r w:rsidR="008E4C24" w:rsidRPr="008E4C24">
        <w:rPr>
          <w:rFonts w:ascii="Arial" w:hAnsi="Arial" w:cs="Arial"/>
          <w:i/>
          <w:iCs/>
          <w:sz w:val="20"/>
          <w:szCs w:val="20"/>
        </w:rPr>
        <w:t>Leveraging different store formats</w:t>
      </w:r>
      <w:r w:rsidR="008E4C24">
        <w:rPr>
          <w:rFonts w:ascii="Arial" w:hAnsi="Arial" w:cs="Arial"/>
          <w:i/>
          <w:iCs/>
          <w:sz w:val="20"/>
          <w:szCs w:val="20"/>
        </w:rPr>
        <w:t>,</w:t>
      </w:r>
      <w:r w:rsidR="008E4C24" w:rsidRPr="008E4C24">
        <w:rPr>
          <w:rFonts w:ascii="Arial" w:hAnsi="Arial" w:cs="Arial"/>
          <w:i/>
          <w:iCs/>
          <w:sz w:val="20"/>
          <w:szCs w:val="20"/>
        </w:rPr>
        <w:t xml:space="preserve"> including grocery</w:t>
      </w:r>
      <w:r w:rsidR="008E4C24">
        <w:rPr>
          <w:rFonts w:ascii="Arial" w:hAnsi="Arial" w:cs="Arial"/>
          <w:i/>
          <w:iCs/>
          <w:sz w:val="20"/>
          <w:szCs w:val="20"/>
        </w:rPr>
        <w:t>-</w:t>
      </w:r>
      <w:r w:rsidR="008E4C24" w:rsidRPr="008E4C24">
        <w:rPr>
          <w:rFonts w:ascii="Arial" w:hAnsi="Arial" w:cs="Arial"/>
          <w:i/>
          <w:iCs/>
          <w:sz w:val="20"/>
          <w:szCs w:val="20"/>
        </w:rPr>
        <w:t>led, food to go</w:t>
      </w:r>
      <w:r w:rsidR="008E4C24">
        <w:rPr>
          <w:rFonts w:ascii="Arial" w:hAnsi="Arial" w:cs="Arial"/>
          <w:i/>
          <w:iCs/>
          <w:sz w:val="20"/>
          <w:szCs w:val="20"/>
        </w:rPr>
        <w:t>-</w:t>
      </w:r>
      <w:r w:rsidR="008E4C24" w:rsidRPr="008E4C24">
        <w:rPr>
          <w:rFonts w:ascii="Arial" w:hAnsi="Arial" w:cs="Arial"/>
          <w:i/>
          <w:iCs/>
          <w:sz w:val="20"/>
          <w:szCs w:val="20"/>
        </w:rPr>
        <w:t>led</w:t>
      </w:r>
      <w:r w:rsidR="008E4C24">
        <w:rPr>
          <w:rFonts w:ascii="Arial" w:hAnsi="Arial" w:cs="Arial"/>
          <w:i/>
          <w:iCs/>
          <w:sz w:val="20"/>
          <w:szCs w:val="20"/>
        </w:rPr>
        <w:t>,</w:t>
      </w:r>
      <w:r w:rsidR="008E4C24" w:rsidRPr="008E4C24">
        <w:rPr>
          <w:rFonts w:ascii="Arial" w:hAnsi="Arial" w:cs="Arial"/>
          <w:i/>
          <w:iCs/>
          <w:sz w:val="20"/>
          <w:szCs w:val="20"/>
        </w:rPr>
        <w:t xml:space="preserve"> service</w:t>
      </w:r>
      <w:r w:rsidR="008E4C24">
        <w:rPr>
          <w:rFonts w:ascii="Arial" w:hAnsi="Arial" w:cs="Arial"/>
          <w:i/>
          <w:iCs/>
          <w:sz w:val="20"/>
          <w:szCs w:val="20"/>
        </w:rPr>
        <w:t>-</w:t>
      </w:r>
      <w:r w:rsidR="008E4C24" w:rsidRPr="008E4C24">
        <w:rPr>
          <w:rFonts w:ascii="Arial" w:hAnsi="Arial" w:cs="Arial"/>
          <w:i/>
          <w:iCs/>
          <w:sz w:val="20"/>
          <w:szCs w:val="20"/>
        </w:rPr>
        <w:t>led and delivery will be</w:t>
      </w:r>
      <w:r w:rsidR="008E4C24">
        <w:rPr>
          <w:rFonts w:ascii="Arial" w:hAnsi="Arial" w:cs="Arial"/>
          <w:i/>
          <w:iCs/>
          <w:sz w:val="20"/>
          <w:szCs w:val="20"/>
        </w:rPr>
        <w:t xml:space="preserve"> </w:t>
      </w:r>
      <w:r w:rsidR="008E4C24" w:rsidRPr="008E4C24">
        <w:rPr>
          <w:rFonts w:ascii="Arial" w:hAnsi="Arial" w:cs="Arial"/>
          <w:i/>
          <w:iCs/>
          <w:sz w:val="20"/>
          <w:szCs w:val="20"/>
        </w:rPr>
        <w:t xml:space="preserve">key </w:t>
      </w:r>
      <w:r w:rsidR="008E4C24">
        <w:rPr>
          <w:rFonts w:ascii="Arial" w:hAnsi="Arial" w:cs="Arial"/>
          <w:i/>
          <w:iCs/>
          <w:sz w:val="20"/>
          <w:szCs w:val="20"/>
        </w:rPr>
        <w:t>to growth</w:t>
      </w:r>
      <w:r w:rsidR="008E4C24" w:rsidRPr="008E4C24">
        <w:rPr>
          <w:rFonts w:ascii="Arial" w:hAnsi="Arial" w:cs="Arial"/>
          <w:i/>
          <w:iCs/>
          <w:sz w:val="20"/>
          <w:szCs w:val="20"/>
        </w:rPr>
        <w:t xml:space="preserve"> across the next three years.</w:t>
      </w:r>
      <w:r w:rsidR="008E4C24">
        <w:rPr>
          <w:rFonts w:ascii="Arial" w:hAnsi="Arial" w:cs="Arial"/>
          <w:i/>
          <w:iCs/>
          <w:sz w:val="20"/>
          <w:szCs w:val="20"/>
        </w:rPr>
        <w:t>”</w:t>
      </w:r>
    </w:p>
    <w:p w14:paraId="0C1E02D8" w14:textId="753C132E" w:rsidR="009F27C3" w:rsidRDefault="008E4C24" w:rsidP="00AA3596">
      <w:pPr>
        <w:rPr>
          <w:rFonts w:ascii="Arial" w:hAnsi="Arial" w:cs="Arial"/>
          <w:sz w:val="20"/>
          <w:szCs w:val="20"/>
        </w:rPr>
      </w:pPr>
      <w:r>
        <w:rPr>
          <w:rFonts w:ascii="Arial" w:hAnsi="Arial" w:cs="Arial"/>
          <w:i/>
          <w:iCs/>
          <w:sz w:val="20"/>
          <w:szCs w:val="20"/>
        </w:rPr>
        <w:t>“From a delivery perspective, r</w:t>
      </w:r>
      <w:r w:rsidRPr="008E4C24">
        <w:rPr>
          <w:rFonts w:ascii="Arial" w:hAnsi="Arial" w:cs="Arial"/>
          <w:i/>
          <w:iCs/>
          <w:sz w:val="20"/>
          <w:szCs w:val="20"/>
        </w:rPr>
        <w:t xml:space="preserve">etailers </w:t>
      </w:r>
      <w:r>
        <w:rPr>
          <w:rFonts w:ascii="Arial" w:hAnsi="Arial" w:cs="Arial"/>
          <w:i/>
          <w:iCs/>
          <w:sz w:val="20"/>
          <w:szCs w:val="20"/>
        </w:rPr>
        <w:t>need to</w:t>
      </w:r>
      <w:r w:rsidRPr="008E4C24">
        <w:rPr>
          <w:rFonts w:ascii="Arial" w:hAnsi="Arial" w:cs="Arial"/>
          <w:i/>
          <w:iCs/>
          <w:sz w:val="20"/>
          <w:szCs w:val="20"/>
        </w:rPr>
        <w:t xml:space="preserve"> capitalise on events including the</w:t>
      </w:r>
      <w:r>
        <w:rPr>
          <w:rFonts w:ascii="Arial" w:hAnsi="Arial" w:cs="Arial"/>
          <w:i/>
          <w:iCs/>
          <w:sz w:val="20"/>
          <w:szCs w:val="20"/>
        </w:rPr>
        <w:t xml:space="preserve"> </w:t>
      </w:r>
      <w:r w:rsidRPr="008E4C24">
        <w:rPr>
          <w:rFonts w:ascii="Arial" w:hAnsi="Arial" w:cs="Arial"/>
          <w:i/>
          <w:iCs/>
          <w:sz w:val="20"/>
          <w:szCs w:val="20"/>
        </w:rPr>
        <w:t>Women's Euros and the FIFA World Cup through encouraging shoppers to use delivery for entertaining and nights in.</w:t>
      </w:r>
      <w:r>
        <w:rPr>
          <w:rFonts w:ascii="Arial" w:hAnsi="Arial" w:cs="Arial"/>
          <w:i/>
          <w:iCs/>
          <w:sz w:val="20"/>
          <w:szCs w:val="20"/>
        </w:rPr>
        <w:t xml:space="preserve">”  </w:t>
      </w:r>
    </w:p>
    <w:p w14:paraId="6D3F34F0" w14:textId="5002D19F" w:rsidR="003E204B" w:rsidRDefault="009F27C3" w:rsidP="009400D0">
      <w:pPr>
        <w:rPr>
          <w:rFonts w:ascii="Arial" w:hAnsi="Arial" w:cs="Arial"/>
          <w:b/>
          <w:bCs/>
        </w:rPr>
      </w:pPr>
      <w:r>
        <w:rPr>
          <w:rFonts w:ascii="Arial" w:hAnsi="Arial" w:cs="Arial"/>
          <w:sz w:val="20"/>
          <w:szCs w:val="20"/>
        </w:rPr>
        <w:t xml:space="preserve">Find out more about the Lumina Intelligence UK Convenience Market Report 2022 </w:t>
      </w:r>
      <w:hyperlink r:id="rId7" w:history="1">
        <w:r w:rsidRPr="009F27C3">
          <w:rPr>
            <w:rStyle w:val="Hyperlink"/>
            <w:rFonts w:ascii="Arial" w:hAnsi="Arial" w:cs="Arial"/>
            <w:sz w:val="20"/>
            <w:szCs w:val="20"/>
          </w:rPr>
          <w:t>here</w:t>
        </w:r>
      </w:hyperlink>
      <w:r>
        <w:rPr>
          <w:rFonts w:ascii="Arial" w:hAnsi="Arial" w:cs="Arial"/>
          <w:sz w:val="20"/>
          <w:szCs w:val="20"/>
        </w:rPr>
        <w:t>.</w:t>
      </w:r>
    </w:p>
    <w:p w14:paraId="37CCD9B8" w14:textId="2707B1DD" w:rsidR="00C16ADB" w:rsidRPr="00550B08" w:rsidRDefault="00C16ADB" w:rsidP="007446FD">
      <w:pPr>
        <w:rPr>
          <w:rFonts w:ascii="Arial" w:hAnsi="Arial" w:cs="Arial"/>
          <w:b/>
          <w:bCs/>
        </w:rPr>
      </w:pPr>
      <w:r w:rsidRPr="00550B08">
        <w:rPr>
          <w:rFonts w:ascii="Arial" w:hAnsi="Arial" w:cs="Arial"/>
          <w:b/>
          <w:bCs/>
        </w:rPr>
        <w:t>ENDS</w:t>
      </w:r>
    </w:p>
    <w:p w14:paraId="2DC5233D" w14:textId="7EE5B200" w:rsidR="00ED3ABD" w:rsidRPr="00550B08" w:rsidRDefault="00ED3ABD">
      <w:pPr>
        <w:rPr>
          <w:rFonts w:ascii="Arial" w:hAnsi="Arial" w:cs="Arial"/>
          <w:sz w:val="20"/>
          <w:szCs w:val="20"/>
        </w:rPr>
      </w:pPr>
    </w:p>
    <w:p w14:paraId="164430F9" w14:textId="77777777" w:rsidR="000A4433" w:rsidRPr="00550B08" w:rsidRDefault="000A4433" w:rsidP="000A4433">
      <w:pPr>
        <w:rPr>
          <w:rFonts w:ascii="Arial" w:hAnsi="Arial" w:cs="Arial"/>
          <w:b/>
          <w:bCs/>
          <w:sz w:val="20"/>
          <w:szCs w:val="20"/>
        </w:rPr>
      </w:pPr>
      <w:r w:rsidRPr="00550B08">
        <w:rPr>
          <w:rFonts w:ascii="Arial" w:hAnsi="Arial" w:cs="Arial"/>
          <w:b/>
          <w:bCs/>
          <w:sz w:val="20"/>
          <w:szCs w:val="20"/>
        </w:rPr>
        <w:t>Report methodology</w:t>
      </w:r>
    </w:p>
    <w:p w14:paraId="51178757" w14:textId="77777777" w:rsidR="000A4433" w:rsidRPr="0049573C" w:rsidRDefault="000A4433" w:rsidP="000A4433">
      <w:pPr>
        <w:rPr>
          <w:rFonts w:ascii="Arial" w:hAnsi="Arial" w:cs="Arial"/>
          <w:sz w:val="20"/>
          <w:szCs w:val="20"/>
        </w:rPr>
      </w:pPr>
      <w:r w:rsidRPr="0049573C">
        <w:rPr>
          <w:rFonts w:ascii="Arial" w:hAnsi="Arial" w:cs="Arial"/>
          <w:sz w:val="20"/>
          <w:szCs w:val="20"/>
        </w:rPr>
        <w:t xml:space="preserve">The Lumina Intelligence UK </w:t>
      </w:r>
      <w:r>
        <w:rPr>
          <w:rFonts w:ascii="Arial" w:hAnsi="Arial" w:cs="Arial"/>
          <w:sz w:val="20"/>
          <w:szCs w:val="20"/>
        </w:rPr>
        <w:t>Convenience Market</w:t>
      </w:r>
      <w:r w:rsidRPr="0049573C">
        <w:rPr>
          <w:rFonts w:ascii="Arial" w:hAnsi="Arial" w:cs="Arial"/>
          <w:sz w:val="20"/>
          <w:szCs w:val="20"/>
        </w:rPr>
        <w:t xml:space="preserve"> Report 2021 is the trusted source of insight for UK leading manufacturers and operators.</w:t>
      </w:r>
    </w:p>
    <w:p w14:paraId="0EAFE801" w14:textId="77777777" w:rsidR="000A4433" w:rsidRDefault="000A4433" w:rsidP="000A4433">
      <w:pPr>
        <w:rPr>
          <w:rFonts w:ascii="Arial" w:hAnsi="Arial" w:cs="Arial"/>
          <w:sz w:val="20"/>
          <w:szCs w:val="20"/>
        </w:rPr>
      </w:pPr>
      <w:r>
        <w:rPr>
          <w:rFonts w:ascii="Arial" w:hAnsi="Arial" w:cs="Arial"/>
          <w:sz w:val="20"/>
          <w:szCs w:val="20"/>
        </w:rPr>
        <w:t>The report methodology includes:</w:t>
      </w:r>
    </w:p>
    <w:p w14:paraId="0D642836" w14:textId="77777777" w:rsidR="000A4433" w:rsidRPr="00CB627F" w:rsidRDefault="000A4433" w:rsidP="000A4433">
      <w:pPr>
        <w:pStyle w:val="ListParagraph"/>
        <w:numPr>
          <w:ilvl w:val="0"/>
          <w:numId w:val="10"/>
        </w:numPr>
        <w:rPr>
          <w:rFonts w:ascii="Arial" w:hAnsi="Arial" w:cs="Arial"/>
          <w:sz w:val="20"/>
          <w:szCs w:val="20"/>
        </w:rPr>
      </w:pPr>
      <w:r w:rsidRPr="00CB627F">
        <w:rPr>
          <w:rFonts w:ascii="Arial" w:hAnsi="Arial" w:cs="Arial"/>
          <w:sz w:val="20"/>
          <w:szCs w:val="20"/>
        </w:rPr>
        <w:t>1,500 weekly consumer surveys from Lumina Intelligence Convenience Tracking Programme - the UK’s largest UK convenience shopper study</w:t>
      </w:r>
    </w:p>
    <w:p w14:paraId="2C259B9D" w14:textId="77777777" w:rsidR="000A4433" w:rsidRDefault="000A4433" w:rsidP="000C1CC8">
      <w:pPr>
        <w:pStyle w:val="ListParagraph"/>
        <w:numPr>
          <w:ilvl w:val="0"/>
          <w:numId w:val="10"/>
        </w:numPr>
        <w:rPr>
          <w:rFonts w:ascii="Arial" w:hAnsi="Arial" w:cs="Arial"/>
          <w:sz w:val="20"/>
          <w:szCs w:val="20"/>
        </w:rPr>
      </w:pPr>
      <w:r w:rsidRPr="000A4433">
        <w:rPr>
          <w:rFonts w:ascii="Arial" w:hAnsi="Arial" w:cs="Arial"/>
          <w:sz w:val="20"/>
          <w:szCs w:val="20"/>
        </w:rPr>
        <w:t>Market sizing data tracking the performance of hospitality and grocery operators, based on published and estimated turnover and outlet numbers 2018-2025F</w:t>
      </w:r>
    </w:p>
    <w:p w14:paraId="56390263" w14:textId="7AEB338D" w:rsidR="000A4433" w:rsidRPr="000A4433" w:rsidRDefault="000A4433" w:rsidP="000C1CC8">
      <w:pPr>
        <w:pStyle w:val="ListParagraph"/>
        <w:numPr>
          <w:ilvl w:val="0"/>
          <w:numId w:val="10"/>
        </w:numPr>
        <w:rPr>
          <w:rFonts w:ascii="Arial" w:hAnsi="Arial" w:cs="Arial"/>
          <w:sz w:val="20"/>
          <w:szCs w:val="20"/>
        </w:rPr>
      </w:pPr>
      <w:r w:rsidRPr="000A4433">
        <w:rPr>
          <w:rFonts w:ascii="Arial" w:hAnsi="Arial" w:cs="Arial"/>
          <w:sz w:val="20"/>
          <w:szCs w:val="20"/>
        </w:rPr>
        <w:t>Channel detail and topical content and subject deep dives from Lumina Intelligence Channel Pulse - 1,000 consumer interviews across UK grocery retail shoppers.</w:t>
      </w:r>
    </w:p>
    <w:p w14:paraId="4CEA97D8" w14:textId="259A82D7" w:rsidR="00ED3ABD" w:rsidRPr="00550B08" w:rsidRDefault="00ED3ABD">
      <w:pPr>
        <w:rPr>
          <w:rFonts w:ascii="Arial" w:hAnsi="Arial" w:cs="Arial"/>
          <w:b/>
          <w:bCs/>
          <w:sz w:val="20"/>
          <w:szCs w:val="20"/>
        </w:rPr>
      </w:pPr>
      <w:r w:rsidRPr="00550B08">
        <w:rPr>
          <w:rFonts w:ascii="Arial" w:hAnsi="Arial" w:cs="Arial"/>
          <w:b/>
          <w:bCs/>
          <w:sz w:val="20"/>
          <w:szCs w:val="20"/>
        </w:rPr>
        <w:t>About Lumina Intelligence</w:t>
      </w:r>
    </w:p>
    <w:p w14:paraId="76264BC3" w14:textId="19BD58B4" w:rsidR="001249C3" w:rsidRPr="001249C3" w:rsidRDefault="001249C3" w:rsidP="001249C3">
      <w:pPr>
        <w:rPr>
          <w:rFonts w:ascii="Arial" w:hAnsi="Arial" w:cs="Arial"/>
          <w:sz w:val="20"/>
          <w:szCs w:val="20"/>
        </w:rPr>
      </w:pPr>
      <w:r w:rsidRPr="001249C3">
        <w:rPr>
          <w:rFonts w:ascii="Arial" w:hAnsi="Arial" w:cs="Arial"/>
          <w:sz w:val="20"/>
          <w:szCs w:val="20"/>
        </w:rPr>
        <w:t xml:space="preserve">Lumina Intelligence inspires the food and drink sector with deep, actionable insights powered by the best analytics technology. Our products and services are used by the major brands and organisations in these fast moving and growing markets to support business planning, strategic </w:t>
      </w:r>
      <w:proofErr w:type="gramStart"/>
      <w:r w:rsidRPr="001249C3">
        <w:rPr>
          <w:rFonts w:ascii="Arial" w:hAnsi="Arial" w:cs="Arial"/>
          <w:sz w:val="20"/>
          <w:szCs w:val="20"/>
        </w:rPr>
        <w:t>marketing</w:t>
      </w:r>
      <w:proofErr w:type="gramEnd"/>
      <w:r w:rsidRPr="001249C3">
        <w:rPr>
          <w:rFonts w:ascii="Arial" w:hAnsi="Arial" w:cs="Arial"/>
          <w:sz w:val="20"/>
          <w:szCs w:val="20"/>
        </w:rPr>
        <w:t xml:space="preserve"> and new product development. </w:t>
      </w:r>
    </w:p>
    <w:p w14:paraId="36357113" w14:textId="77777777" w:rsidR="001249C3" w:rsidRPr="001249C3" w:rsidRDefault="001249C3" w:rsidP="001249C3">
      <w:pPr>
        <w:rPr>
          <w:rFonts w:ascii="Arial" w:hAnsi="Arial" w:cs="Arial"/>
          <w:sz w:val="20"/>
          <w:szCs w:val="20"/>
        </w:rPr>
      </w:pPr>
      <w:r w:rsidRPr="001249C3">
        <w:rPr>
          <w:rFonts w:ascii="Arial" w:hAnsi="Arial" w:cs="Arial"/>
          <w:sz w:val="20"/>
          <w:szCs w:val="20"/>
        </w:rPr>
        <w:t xml:space="preserve">With offices in London, Chicago, Montpellier, and Singapore, and local on the ground analysts across our businesses, you can trust our market knowledge. We are committed to providing all our customers with up to date accurate information to support critical decision making. </w:t>
      </w:r>
    </w:p>
    <w:p w14:paraId="49E5DCBD" w14:textId="77777777" w:rsidR="001249C3" w:rsidRDefault="001249C3" w:rsidP="001249C3">
      <w:pPr>
        <w:rPr>
          <w:rFonts w:ascii="Arial" w:hAnsi="Arial" w:cs="Arial"/>
          <w:sz w:val="20"/>
          <w:szCs w:val="20"/>
        </w:rPr>
      </w:pPr>
      <w:r w:rsidRPr="001249C3">
        <w:rPr>
          <w:rFonts w:ascii="Arial" w:hAnsi="Arial" w:cs="Arial"/>
          <w:sz w:val="20"/>
          <w:szCs w:val="20"/>
        </w:rPr>
        <w:t xml:space="preserve">Combining the expertise and experience of HIM, MCA Insight and Lumina Intelligence, we are the experts in market and consumer insight across the food &amp; drink and nutrition markets. </w:t>
      </w:r>
    </w:p>
    <w:p w14:paraId="7EB7B16A" w14:textId="1CB8B789" w:rsidR="00113451" w:rsidRPr="00550B08" w:rsidRDefault="00C3589F">
      <w:pPr>
        <w:rPr>
          <w:rFonts w:ascii="Arial" w:hAnsi="Arial" w:cs="Arial"/>
          <w:sz w:val="20"/>
          <w:szCs w:val="20"/>
        </w:rPr>
      </w:pPr>
      <w:hyperlink r:id="rId8" w:history="1">
        <w:r w:rsidR="00D308D1" w:rsidRPr="00550B08">
          <w:rPr>
            <w:rStyle w:val="Hyperlink"/>
            <w:rFonts w:ascii="Arial" w:hAnsi="Arial" w:cs="Arial"/>
            <w:sz w:val="20"/>
            <w:szCs w:val="20"/>
          </w:rPr>
          <w:t>https://www.lumina-intelligence.com/</w:t>
        </w:r>
      </w:hyperlink>
    </w:p>
    <w:sectPr w:rsidR="00113451" w:rsidRPr="00550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A5ECB"/>
    <w:multiLevelType w:val="hybridMultilevel"/>
    <w:tmpl w:val="BBA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A4DC4"/>
    <w:multiLevelType w:val="hybridMultilevel"/>
    <w:tmpl w:val="21AC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41A2B"/>
    <w:multiLevelType w:val="hybridMultilevel"/>
    <w:tmpl w:val="36AC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F17D1"/>
    <w:multiLevelType w:val="multilevel"/>
    <w:tmpl w:val="C91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4B449F"/>
    <w:multiLevelType w:val="hybridMultilevel"/>
    <w:tmpl w:val="D530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B7C1F"/>
    <w:multiLevelType w:val="hybridMultilevel"/>
    <w:tmpl w:val="D9FC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84E56"/>
    <w:multiLevelType w:val="hybridMultilevel"/>
    <w:tmpl w:val="5A46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7E268D"/>
    <w:multiLevelType w:val="hybridMultilevel"/>
    <w:tmpl w:val="CEB8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560506"/>
    <w:multiLevelType w:val="hybridMultilevel"/>
    <w:tmpl w:val="EE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1C1E00"/>
    <w:multiLevelType w:val="hybridMultilevel"/>
    <w:tmpl w:val="E7D6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2"/>
  </w:num>
  <w:num w:numId="6">
    <w:abstractNumId w:val="7"/>
  </w:num>
  <w:num w:numId="7">
    <w:abstractNumId w:val="5"/>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8A"/>
    <w:rsid w:val="00006FF4"/>
    <w:rsid w:val="00055170"/>
    <w:rsid w:val="0006497F"/>
    <w:rsid w:val="00072404"/>
    <w:rsid w:val="000809E0"/>
    <w:rsid w:val="000A084D"/>
    <w:rsid w:val="000A4433"/>
    <w:rsid w:val="000F1972"/>
    <w:rsid w:val="001016E5"/>
    <w:rsid w:val="00107E2B"/>
    <w:rsid w:val="00113451"/>
    <w:rsid w:val="00116246"/>
    <w:rsid w:val="001249C3"/>
    <w:rsid w:val="00134B6F"/>
    <w:rsid w:val="00157150"/>
    <w:rsid w:val="00195F54"/>
    <w:rsid w:val="001A3D4E"/>
    <w:rsid w:val="001C50C1"/>
    <w:rsid w:val="001C5B98"/>
    <w:rsid w:val="001C65B6"/>
    <w:rsid w:val="001C7BF1"/>
    <w:rsid w:val="001D4D35"/>
    <w:rsid w:val="001F25AD"/>
    <w:rsid w:val="00214D95"/>
    <w:rsid w:val="00216F72"/>
    <w:rsid w:val="00240CAC"/>
    <w:rsid w:val="00243ED7"/>
    <w:rsid w:val="00261F91"/>
    <w:rsid w:val="00297C15"/>
    <w:rsid w:val="002A0F0F"/>
    <w:rsid w:val="002E22C9"/>
    <w:rsid w:val="002E7454"/>
    <w:rsid w:val="002F089D"/>
    <w:rsid w:val="002F0BB4"/>
    <w:rsid w:val="002F7EAF"/>
    <w:rsid w:val="00302E10"/>
    <w:rsid w:val="00312F51"/>
    <w:rsid w:val="00320F51"/>
    <w:rsid w:val="00363346"/>
    <w:rsid w:val="0038460D"/>
    <w:rsid w:val="003B336B"/>
    <w:rsid w:val="003C4BB2"/>
    <w:rsid w:val="003E204B"/>
    <w:rsid w:val="003F4173"/>
    <w:rsid w:val="003F6D4B"/>
    <w:rsid w:val="00414095"/>
    <w:rsid w:val="0041755B"/>
    <w:rsid w:val="00443DF9"/>
    <w:rsid w:val="0044412F"/>
    <w:rsid w:val="004619E6"/>
    <w:rsid w:val="004B3902"/>
    <w:rsid w:val="004D23F6"/>
    <w:rsid w:val="004E551E"/>
    <w:rsid w:val="004F1FF8"/>
    <w:rsid w:val="00520307"/>
    <w:rsid w:val="00550B08"/>
    <w:rsid w:val="0055150D"/>
    <w:rsid w:val="00553497"/>
    <w:rsid w:val="00566CAE"/>
    <w:rsid w:val="005969D6"/>
    <w:rsid w:val="005B7E51"/>
    <w:rsid w:val="00604B4A"/>
    <w:rsid w:val="0061620B"/>
    <w:rsid w:val="00624D3B"/>
    <w:rsid w:val="006301EC"/>
    <w:rsid w:val="00646C5E"/>
    <w:rsid w:val="0064772D"/>
    <w:rsid w:val="0065536E"/>
    <w:rsid w:val="006562DA"/>
    <w:rsid w:val="00664850"/>
    <w:rsid w:val="00686860"/>
    <w:rsid w:val="00691E88"/>
    <w:rsid w:val="006B4D8D"/>
    <w:rsid w:val="006D5EEC"/>
    <w:rsid w:val="006E3C4F"/>
    <w:rsid w:val="006E6D0B"/>
    <w:rsid w:val="006E75AA"/>
    <w:rsid w:val="006E79FF"/>
    <w:rsid w:val="006F447C"/>
    <w:rsid w:val="00720ABB"/>
    <w:rsid w:val="007221DF"/>
    <w:rsid w:val="007229E3"/>
    <w:rsid w:val="00725D81"/>
    <w:rsid w:val="007335D5"/>
    <w:rsid w:val="007337FD"/>
    <w:rsid w:val="007402DC"/>
    <w:rsid w:val="007446FD"/>
    <w:rsid w:val="007451F1"/>
    <w:rsid w:val="00747CEC"/>
    <w:rsid w:val="00755025"/>
    <w:rsid w:val="0076037A"/>
    <w:rsid w:val="007620F3"/>
    <w:rsid w:val="007854AB"/>
    <w:rsid w:val="00793E45"/>
    <w:rsid w:val="007A50F0"/>
    <w:rsid w:val="007C2AE1"/>
    <w:rsid w:val="007D197C"/>
    <w:rsid w:val="007F3C85"/>
    <w:rsid w:val="00813785"/>
    <w:rsid w:val="008249B4"/>
    <w:rsid w:val="008276B8"/>
    <w:rsid w:val="00831A17"/>
    <w:rsid w:val="00846DDB"/>
    <w:rsid w:val="00855549"/>
    <w:rsid w:val="00855BF7"/>
    <w:rsid w:val="00861082"/>
    <w:rsid w:val="00862CCB"/>
    <w:rsid w:val="00862EB2"/>
    <w:rsid w:val="00882EC4"/>
    <w:rsid w:val="008A46AD"/>
    <w:rsid w:val="008A4EA1"/>
    <w:rsid w:val="008C2F28"/>
    <w:rsid w:val="008D4655"/>
    <w:rsid w:val="008D5C4F"/>
    <w:rsid w:val="008D5FCF"/>
    <w:rsid w:val="008E1A01"/>
    <w:rsid w:val="008E317A"/>
    <w:rsid w:val="008E4C24"/>
    <w:rsid w:val="008E5A63"/>
    <w:rsid w:val="009035F0"/>
    <w:rsid w:val="0092365C"/>
    <w:rsid w:val="009400D0"/>
    <w:rsid w:val="00970A81"/>
    <w:rsid w:val="009A6775"/>
    <w:rsid w:val="009C3668"/>
    <w:rsid w:val="009C613A"/>
    <w:rsid w:val="009D1543"/>
    <w:rsid w:val="009F27C3"/>
    <w:rsid w:val="00A2089F"/>
    <w:rsid w:val="00A70FE3"/>
    <w:rsid w:val="00A90A13"/>
    <w:rsid w:val="00A935A1"/>
    <w:rsid w:val="00AA3596"/>
    <w:rsid w:val="00AA4D4A"/>
    <w:rsid w:val="00AB7763"/>
    <w:rsid w:val="00AD236E"/>
    <w:rsid w:val="00AE6B2F"/>
    <w:rsid w:val="00B06987"/>
    <w:rsid w:val="00B06B5C"/>
    <w:rsid w:val="00B414CE"/>
    <w:rsid w:val="00B46E6F"/>
    <w:rsid w:val="00B54F43"/>
    <w:rsid w:val="00B616DB"/>
    <w:rsid w:val="00B731BF"/>
    <w:rsid w:val="00B833AA"/>
    <w:rsid w:val="00B9486D"/>
    <w:rsid w:val="00B94CC5"/>
    <w:rsid w:val="00BB4747"/>
    <w:rsid w:val="00C16ADB"/>
    <w:rsid w:val="00C176BD"/>
    <w:rsid w:val="00C270FD"/>
    <w:rsid w:val="00C30C1F"/>
    <w:rsid w:val="00C3589F"/>
    <w:rsid w:val="00C410E3"/>
    <w:rsid w:val="00C4785A"/>
    <w:rsid w:val="00C545F0"/>
    <w:rsid w:val="00C61FBF"/>
    <w:rsid w:val="00C76C7E"/>
    <w:rsid w:val="00C77C17"/>
    <w:rsid w:val="00C86028"/>
    <w:rsid w:val="00CA6670"/>
    <w:rsid w:val="00CC30CF"/>
    <w:rsid w:val="00CD419B"/>
    <w:rsid w:val="00CE055C"/>
    <w:rsid w:val="00CE6B8A"/>
    <w:rsid w:val="00D25202"/>
    <w:rsid w:val="00D308D1"/>
    <w:rsid w:val="00D7181B"/>
    <w:rsid w:val="00DB062C"/>
    <w:rsid w:val="00DD76E1"/>
    <w:rsid w:val="00E214AC"/>
    <w:rsid w:val="00E25B65"/>
    <w:rsid w:val="00E47D5B"/>
    <w:rsid w:val="00E56A95"/>
    <w:rsid w:val="00E72427"/>
    <w:rsid w:val="00E734FF"/>
    <w:rsid w:val="00E800EF"/>
    <w:rsid w:val="00E86B5F"/>
    <w:rsid w:val="00E918AA"/>
    <w:rsid w:val="00EA1B39"/>
    <w:rsid w:val="00ED2C5E"/>
    <w:rsid w:val="00ED3ABD"/>
    <w:rsid w:val="00EE28D1"/>
    <w:rsid w:val="00EF7048"/>
    <w:rsid w:val="00F10F0C"/>
    <w:rsid w:val="00F16921"/>
    <w:rsid w:val="00F744AB"/>
    <w:rsid w:val="00F91FB9"/>
    <w:rsid w:val="00FB2C7F"/>
    <w:rsid w:val="00FC1A9F"/>
    <w:rsid w:val="00FE1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E0BE"/>
  <w15:chartTrackingRefBased/>
  <w15:docId w15:val="{DB18318A-1872-42BE-9CEA-53F63272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ABD"/>
    <w:rPr>
      <w:color w:val="0563C1" w:themeColor="hyperlink"/>
      <w:u w:val="single"/>
    </w:rPr>
  </w:style>
  <w:style w:type="character" w:styleId="UnresolvedMention">
    <w:name w:val="Unresolved Mention"/>
    <w:basedOn w:val="DefaultParagraphFont"/>
    <w:uiPriority w:val="99"/>
    <w:semiHidden/>
    <w:unhideWhenUsed/>
    <w:rsid w:val="00ED3ABD"/>
    <w:rPr>
      <w:color w:val="605E5C"/>
      <w:shd w:val="clear" w:color="auto" w:fill="E1DFDD"/>
    </w:rPr>
  </w:style>
  <w:style w:type="paragraph" w:styleId="BalloonText">
    <w:name w:val="Balloon Text"/>
    <w:basedOn w:val="Normal"/>
    <w:link w:val="BalloonTextChar"/>
    <w:uiPriority w:val="99"/>
    <w:semiHidden/>
    <w:unhideWhenUsed/>
    <w:rsid w:val="00846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DDB"/>
    <w:rPr>
      <w:rFonts w:ascii="Segoe UI" w:hAnsi="Segoe UI" w:cs="Segoe UI"/>
      <w:sz w:val="18"/>
      <w:szCs w:val="18"/>
    </w:rPr>
  </w:style>
  <w:style w:type="paragraph" w:styleId="ListParagraph">
    <w:name w:val="List Paragraph"/>
    <w:basedOn w:val="Normal"/>
    <w:uiPriority w:val="34"/>
    <w:qFormat/>
    <w:rsid w:val="00550B08"/>
    <w:pPr>
      <w:ind w:left="720"/>
      <w:contextualSpacing/>
    </w:pPr>
  </w:style>
  <w:style w:type="character" w:styleId="CommentReference">
    <w:name w:val="annotation reference"/>
    <w:basedOn w:val="DefaultParagraphFont"/>
    <w:uiPriority w:val="99"/>
    <w:semiHidden/>
    <w:unhideWhenUsed/>
    <w:rsid w:val="0044412F"/>
    <w:rPr>
      <w:sz w:val="16"/>
      <w:szCs w:val="16"/>
    </w:rPr>
  </w:style>
  <w:style w:type="paragraph" w:styleId="CommentText">
    <w:name w:val="annotation text"/>
    <w:basedOn w:val="Normal"/>
    <w:link w:val="CommentTextChar"/>
    <w:uiPriority w:val="99"/>
    <w:semiHidden/>
    <w:unhideWhenUsed/>
    <w:rsid w:val="0044412F"/>
    <w:pPr>
      <w:spacing w:line="240" w:lineRule="auto"/>
    </w:pPr>
    <w:rPr>
      <w:sz w:val="20"/>
      <w:szCs w:val="20"/>
    </w:rPr>
  </w:style>
  <w:style w:type="character" w:customStyle="1" w:styleId="CommentTextChar">
    <w:name w:val="Comment Text Char"/>
    <w:basedOn w:val="DefaultParagraphFont"/>
    <w:link w:val="CommentText"/>
    <w:uiPriority w:val="99"/>
    <w:semiHidden/>
    <w:rsid w:val="0044412F"/>
    <w:rPr>
      <w:sz w:val="20"/>
      <w:szCs w:val="20"/>
    </w:rPr>
  </w:style>
  <w:style w:type="paragraph" w:styleId="CommentSubject">
    <w:name w:val="annotation subject"/>
    <w:basedOn w:val="CommentText"/>
    <w:next w:val="CommentText"/>
    <w:link w:val="CommentSubjectChar"/>
    <w:uiPriority w:val="99"/>
    <w:semiHidden/>
    <w:unhideWhenUsed/>
    <w:rsid w:val="0044412F"/>
    <w:rPr>
      <w:b/>
      <w:bCs/>
    </w:rPr>
  </w:style>
  <w:style w:type="character" w:customStyle="1" w:styleId="CommentSubjectChar">
    <w:name w:val="Comment Subject Char"/>
    <w:basedOn w:val="CommentTextChar"/>
    <w:link w:val="CommentSubject"/>
    <w:uiPriority w:val="99"/>
    <w:semiHidden/>
    <w:rsid w:val="0044412F"/>
    <w:rPr>
      <w:b/>
      <w:bCs/>
      <w:sz w:val="20"/>
      <w:szCs w:val="20"/>
    </w:rPr>
  </w:style>
  <w:style w:type="paragraph" w:styleId="Revision">
    <w:name w:val="Revision"/>
    <w:hidden/>
    <w:uiPriority w:val="99"/>
    <w:semiHidden/>
    <w:rsid w:val="008E1A01"/>
    <w:pPr>
      <w:spacing w:after="0" w:line="240" w:lineRule="auto"/>
    </w:pPr>
  </w:style>
  <w:style w:type="paragraph" w:styleId="NormalWeb">
    <w:name w:val="Normal (Web)"/>
    <w:basedOn w:val="Normal"/>
    <w:uiPriority w:val="99"/>
    <w:semiHidden/>
    <w:unhideWhenUsed/>
    <w:rsid w:val="007620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20F3"/>
    <w:rPr>
      <w:b/>
      <w:bCs/>
    </w:rPr>
  </w:style>
  <w:style w:type="table" w:styleId="TableGrid">
    <w:name w:val="Table Grid"/>
    <w:basedOn w:val="TableNormal"/>
    <w:uiPriority w:val="39"/>
    <w:rsid w:val="000A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89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 TargetMode="External"/><Relationship Id="rId3" Type="http://schemas.openxmlformats.org/officeDocument/2006/relationships/settings" Target="settings.xml"/><Relationship Id="rId7" Type="http://schemas.openxmlformats.org/officeDocument/2006/relationships/hyperlink" Target="https://store.lumina-intelligence.com/product/uk-convenience-market-report-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orgio.rigali@lumina-intelligence.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895</Words>
  <Characters>5104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Rigali</dc:creator>
  <cp:keywords/>
  <dc:description/>
  <cp:lastModifiedBy>Giorgio Rigali</cp:lastModifiedBy>
  <cp:revision>2</cp:revision>
  <dcterms:created xsi:type="dcterms:W3CDTF">2022-07-14T15:17:00Z</dcterms:created>
  <dcterms:modified xsi:type="dcterms:W3CDTF">2022-07-14T15:17:00Z</dcterms:modified>
</cp:coreProperties>
</file>