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C7822" w14:textId="19B7A20F" w:rsidR="00ED3ABD" w:rsidRPr="00550B08" w:rsidRDefault="007221DF" w:rsidP="00ED3ABD">
      <w:pPr>
        <w:rPr>
          <w:rFonts w:ascii="Arial" w:hAnsi="Arial" w:cs="Arial"/>
          <w:b/>
          <w:bCs/>
          <w:color w:val="505050"/>
          <w:sz w:val="18"/>
          <w:szCs w:val="18"/>
        </w:rPr>
      </w:pPr>
      <w:r w:rsidRPr="00550B08">
        <w:rPr>
          <w:rFonts w:ascii="Arial" w:hAnsi="Arial" w:cs="Arial"/>
          <w:b/>
          <w:bCs/>
          <w:noProof/>
          <w:color w:val="505050"/>
          <w:sz w:val="18"/>
          <w:szCs w:val="18"/>
        </w:rPr>
        <w:drawing>
          <wp:anchor distT="0" distB="0" distL="114300" distR="114300" simplePos="0" relativeHeight="251658240" behindDoc="1" locked="0" layoutInCell="1" allowOverlap="1" wp14:anchorId="49377F67" wp14:editId="34D0D744">
            <wp:simplePos x="0" y="0"/>
            <wp:positionH relativeFrom="margin">
              <wp:align>right</wp:align>
            </wp:positionH>
            <wp:positionV relativeFrom="paragraph">
              <wp:posOffset>6888</wp:posOffset>
            </wp:positionV>
            <wp:extent cx="1398270" cy="626110"/>
            <wp:effectExtent l="0" t="0" r="0" b="2540"/>
            <wp:wrapTight wrapText="bothSides">
              <wp:wrapPolygon edited="0">
                <wp:start x="0" y="0"/>
                <wp:lineTo x="0" y="21030"/>
                <wp:lineTo x="6768" y="21030"/>
                <wp:lineTo x="9123" y="21030"/>
                <wp:lineTo x="21188" y="21030"/>
                <wp:lineTo x="21188" y="2629"/>
                <wp:lineTo x="14125"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mina Logo Black @1.5x.png"/>
                    <pic:cNvPicPr/>
                  </pic:nvPicPr>
                  <pic:blipFill>
                    <a:blip r:embed="rId5">
                      <a:extLst>
                        <a:ext uri="{28A0092B-C50C-407E-A947-70E740481C1C}">
                          <a14:useLocalDpi xmlns:a14="http://schemas.microsoft.com/office/drawing/2010/main" val="0"/>
                        </a:ext>
                      </a:extLst>
                    </a:blip>
                    <a:stretch>
                      <a:fillRect/>
                    </a:stretch>
                  </pic:blipFill>
                  <pic:spPr>
                    <a:xfrm>
                      <a:off x="0" y="0"/>
                      <a:ext cx="1398270" cy="626110"/>
                    </a:xfrm>
                    <a:prstGeom prst="rect">
                      <a:avLst/>
                    </a:prstGeom>
                  </pic:spPr>
                </pic:pic>
              </a:graphicData>
            </a:graphic>
            <wp14:sizeRelH relativeFrom="margin">
              <wp14:pctWidth>0</wp14:pctWidth>
            </wp14:sizeRelH>
            <wp14:sizeRelV relativeFrom="margin">
              <wp14:pctHeight>0</wp14:pctHeight>
            </wp14:sizeRelV>
          </wp:anchor>
        </w:drawing>
      </w:r>
      <w:r w:rsidR="00ED3ABD" w:rsidRPr="00550B08">
        <w:rPr>
          <w:rFonts w:ascii="Arial" w:hAnsi="Arial" w:cs="Arial"/>
          <w:b/>
          <w:bCs/>
          <w:color w:val="505050"/>
          <w:sz w:val="18"/>
          <w:szCs w:val="18"/>
        </w:rPr>
        <w:t>CONTACT INFORMATION:</w:t>
      </w:r>
    </w:p>
    <w:p w14:paraId="0532A99E" w14:textId="63178E36" w:rsidR="00ED3ABD" w:rsidRPr="00550B08" w:rsidRDefault="00ED3ABD" w:rsidP="00ED3ABD">
      <w:pPr>
        <w:spacing w:after="0" w:line="240" w:lineRule="auto"/>
        <w:rPr>
          <w:rFonts w:ascii="Arial" w:hAnsi="Arial" w:cs="Arial"/>
          <w:b/>
          <w:bCs/>
          <w:color w:val="505050"/>
          <w:sz w:val="18"/>
          <w:szCs w:val="18"/>
        </w:rPr>
      </w:pPr>
      <w:r w:rsidRPr="00550B08">
        <w:rPr>
          <w:rFonts w:ascii="Arial" w:hAnsi="Arial" w:cs="Arial"/>
          <w:b/>
          <w:bCs/>
          <w:color w:val="505050"/>
          <w:sz w:val="18"/>
          <w:szCs w:val="18"/>
        </w:rPr>
        <w:t>Lumina Intelligence</w:t>
      </w:r>
    </w:p>
    <w:p w14:paraId="32951546" w14:textId="0A8BAE7A" w:rsidR="00ED3ABD" w:rsidRPr="00550B08" w:rsidRDefault="00ED3ABD" w:rsidP="00ED3ABD">
      <w:pPr>
        <w:spacing w:after="0" w:line="240" w:lineRule="auto"/>
        <w:rPr>
          <w:rFonts w:ascii="Arial" w:hAnsi="Arial" w:cs="Arial"/>
          <w:b/>
          <w:bCs/>
          <w:color w:val="505050"/>
          <w:sz w:val="18"/>
          <w:szCs w:val="18"/>
        </w:rPr>
      </w:pPr>
      <w:r w:rsidRPr="00550B08">
        <w:rPr>
          <w:rFonts w:ascii="Arial" w:hAnsi="Arial" w:cs="Arial"/>
          <w:b/>
          <w:bCs/>
          <w:color w:val="505050"/>
          <w:sz w:val="18"/>
          <w:szCs w:val="18"/>
        </w:rPr>
        <w:t>Giorgio Rigali</w:t>
      </w:r>
    </w:p>
    <w:p w14:paraId="553A8214" w14:textId="18EC8804" w:rsidR="00ED3ABD" w:rsidRPr="00550B08" w:rsidRDefault="00ED3ABD" w:rsidP="00ED3ABD">
      <w:pPr>
        <w:spacing w:after="0" w:line="240" w:lineRule="auto"/>
        <w:rPr>
          <w:rFonts w:ascii="Arial" w:hAnsi="Arial" w:cs="Arial"/>
          <w:b/>
          <w:bCs/>
          <w:color w:val="505050"/>
          <w:sz w:val="18"/>
          <w:szCs w:val="18"/>
        </w:rPr>
      </w:pPr>
      <w:r w:rsidRPr="00550B08">
        <w:rPr>
          <w:rFonts w:ascii="Arial" w:hAnsi="Arial" w:cs="Arial"/>
          <w:b/>
          <w:bCs/>
          <w:color w:val="505050"/>
          <w:sz w:val="18"/>
          <w:szCs w:val="18"/>
        </w:rPr>
        <w:t>07545990030</w:t>
      </w:r>
    </w:p>
    <w:p w14:paraId="452AC616" w14:textId="204206DC" w:rsidR="00ED3ABD" w:rsidRDefault="00343A80" w:rsidP="00ED3ABD">
      <w:pPr>
        <w:spacing w:after="0" w:line="240" w:lineRule="auto"/>
        <w:rPr>
          <w:rStyle w:val="Hyperlink"/>
          <w:rFonts w:ascii="Arial" w:hAnsi="Arial" w:cs="Arial"/>
          <w:b/>
          <w:bCs/>
          <w:color w:val="505050"/>
          <w:sz w:val="18"/>
          <w:szCs w:val="18"/>
        </w:rPr>
      </w:pPr>
      <w:hyperlink r:id="rId6" w:history="1">
        <w:r w:rsidR="004D2874" w:rsidRPr="00937FE0">
          <w:rPr>
            <w:rStyle w:val="Hyperlink"/>
            <w:rFonts w:ascii="Arial" w:hAnsi="Arial" w:cs="Arial"/>
            <w:b/>
            <w:bCs/>
            <w:sz w:val="18"/>
            <w:szCs w:val="18"/>
          </w:rPr>
          <w:t>Giorgio.rigali@lumina-intelligence.com</w:t>
        </w:r>
      </w:hyperlink>
    </w:p>
    <w:p w14:paraId="1D64BCA5" w14:textId="3CA5B9DE" w:rsidR="003C4BB2" w:rsidRPr="00550B08" w:rsidRDefault="003C4BB2" w:rsidP="00ED3ABD">
      <w:pPr>
        <w:spacing w:after="0" w:line="240" w:lineRule="auto"/>
        <w:rPr>
          <w:rStyle w:val="Hyperlink"/>
          <w:rFonts w:ascii="Arial" w:hAnsi="Arial" w:cs="Arial"/>
          <w:color w:val="505050"/>
          <w:sz w:val="18"/>
          <w:szCs w:val="18"/>
        </w:rPr>
      </w:pPr>
    </w:p>
    <w:p w14:paraId="21BA4789" w14:textId="65D21EF5" w:rsidR="00ED3ABD" w:rsidRPr="00550B08" w:rsidRDefault="00AF0EB2" w:rsidP="003C4BB2">
      <w:pPr>
        <w:spacing w:after="0" w:line="240" w:lineRule="auto"/>
        <w:rPr>
          <w:rStyle w:val="Hyperlink"/>
          <w:rFonts w:ascii="Arial" w:hAnsi="Arial" w:cs="Arial"/>
          <w:b/>
          <w:bCs/>
          <w:color w:val="505050"/>
          <w:sz w:val="18"/>
          <w:szCs w:val="18"/>
          <w:u w:val="none"/>
        </w:rPr>
      </w:pPr>
      <w:r>
        <w:rPr>
          <w:rStyle w:val="Hyperlink"/>
          <w:rFonts w:ascii="Arial" w:hAnsi="Arial" w:cs="Arial"/>
          <w:b/>
          <w:bCs/>
          <w:color w:val="505050"/>
          <w:sz w:val="18"/>
          <w:szCs w:val="18"/>
          <w:u w:val="none"/>
        </w:rPr>
        <w:t>19</w:t>
      </w:r>
      <w:r w:rsidR="003D61E1">
        <w:rPr>
          <w:rStyle w:val="Hyperlink"/>
          <w:rFonts w:ascii="Arial" w:hAnsi="Arial" w:cs="Arial"/>
          <w:b/>
          <w:bCs/>
          <w:color w:val="505050"/>
          <w:sz w:val="18"/>
          <w:szCs w:val="18"/>
          <w:u w:val="none"/>
        </w:rPr>
        <w:t xml:space="preserve"> </w:t>
      </w:r>
      <w:r>
        <w:rPr>
          <w:rStyle w:val="Hyperlink"/>
          <w:rFonts w:ascii="Arial" w:hAnsi="Arial" w:cs="Arial"/>
          <w:b/>
          <w:bCs/>
          <w:color w:val="505050"/>
          <w:sz w:val="18"/>
          <w:szCs w:val="18"/>
          <w:u w:val="none"/>
        </w:rPr>
        <w:t>April</w:t>
      </w:r>
      <w:r w:rsidR="00CD419B">
        <w:rPr>
          <w:rStyle w:val="Hyperlink"/>
          <w:rFonts w:ascii="Arial" w:hAnsi="Arial" w:cs="Arial"/>
          <w:b/>
          <w:bCs/>
          <w:color w:val="505050"/>
          <w:sz w:val="18"/>
          <w:szCs w:val="18"/>
          <w:u w:val="none"/>
        </w:rPr>
        <w:t xml:space="preserve"> </w:t>
      </w:r>
      <w:r w:rsidR="003C4BB2" w:rsidRPr="00550B08">
        <w:rPr>
          <w:rStyle w:val="Hyperlink"/>
          <w:rFonts w:ascii="Arial" w:hAnsi="Arial" w:cs="Arial"/>
          <w:b/>
          <w:bCs/>
          <w:color w:val="505050"/>
          <w:sz w:val="18"/>
          <w:szCs w:val="18"/>
          <w:u w:val="none"/>
        </w:rPr>
        <w:t>202</w:t>
      </w:r>
      <w:r w:rsidR="0015049C">
        <w:rPr>
          <w:rStyle w:val="Hyperlink"/>
          <w:rFonts w:ascii="Arial" w:hAnsi="Arial" w:cs="Arial"/>
          <w:b/>
          <w:bCs/>
          <w:color w:val="505050"/>
          <w:sz w:val="18"/>
          <w:szCs w:val="18"/>
          <w:u w:val="none"/>
        </w:rPr>
        <w:t>2</w:t>
      </w:r>
    </w:p>
    <w:p w14:paraId="74BC0C7C" w14:textId="77777777" w:rsidR="009400D0" w:rsidRPr="009400D0" w:rsidRDefault="009400D0" w:rsidP="009400D0">
      <w:pPr>
        <w:rPr>
          <w:rFonts w:ascii="Arial" w:hAnsi="Arial" w:cs="Arial"/>
          <w:b/>
          <w:bCs/>
          <w:sz w:val="32"/>
          <w:szCs w:val="32"/>
        </w:rPr>
      </w:pPr>
    </w:p>
    <w:p w14:paraId="776F54C6" w14:textId="278F7BB3" w:rsidR="00856858" w:rsidRPr="00856858" w:rsidRDefault="00AE2B85" w:rsidP="007B62B3">
      <w:pPr>
        <w:jc w:val="center"/>
        <w:rPr>
          <w:rFonts w:ascii="Arial" w:hAnsi="Arial" w:cs="Arial"/>
          <w:b/>
          <w:bCs/>
          <w:sz w:val="32"/>
          <w:szCs w:val="32"/>
        </w:rPr>
      </w:pPr>
      <w:r>
        <w:rPr>
          <w:rFonts w:ascii="Arial" w:hAnsi="Arial" w:cs="Arial"/>
          <w:b/>
          <w:bCs/>
          <w:sz w:val="32"/>
          <w:szCs w:val="32"/>
        </w:rPr>
        <w:t>UK pub and bar market to recover to 99% of its pre-pandemic 2019 value in 2022</w:t>
      </w:r>
    </w:p>
    <w:p w14:paraId="4B022AC9" w14:textId="50A7691B" w:rsidR="00AF0EB2" w:rsidRDefault="009400D0" w:rsidP="00AE2B85">
      <w:pPr>
        <w:rPr>
          <w:rFonts w:ascii="Arial" w:hAnsi="Arial" w:cs="Arial"/>
          <w:sz w:val="20"/>
          <w:szCs w:val="20"/>
        </w:rPr>
      </w:pPr>
      <w:r w:rsidRPr="009400D0">
        <w:rPr>
          <w:rFonts w:ascii="Arial" w:hAnsi="Arial" w:cs="Arial"/>
          <w:sz w:val="20"/>
          <w:szCs w:val="20"/>
        </w:rPr>
        <w:t xml:space="preserve">According to the latest data from </w:t>
      </w:r>
      <w:r w:rsidR="005F1548">
        <w:rPr>
          <w:rFonts w:ascii="Arial" w:hAnsi="Arial" w:cs="Arial"/>
          <w:sz w:val="20"/>
          <w:szCs w:val="20"/>
        </w:rPr>
        <w:t xml:space="preserve">the </w:t>
      </w:r>
      <w:r w:rsidRPr="009400D0">
        <w:rPr>
          <w:rFonts w:ascii="Arial" w:hAnsi="Arial" w:cs="Arial"/>
          <w:sz w:val="20"/>
          <w:szCs w:val="20"/>
        </w:rPr>
        <w:t xml:space="preserve">Lumina Intelligence </w:t>
      </w:r>
      <w:r w:rsidR="005F1548">
        <w:rPr>
          <w:rFonts w:ascii="Arial" w:hAnsi="Arial" w:cs="Arial"/>
          <w:sz w:val="20"/>
          <w:szCs w:val="20"/>
        </w:rPr>
        <w:t xml:space="preserve">Operator Data Index, </w:t>
      </w:r>
      <w:r w:rsidR="00AE2B85">
        <w:rPr>
          <w:rFonts w:ascii="Arial" w:hAnsi="Arial" w:cs="Arial"/>
          <w:sz w:val="20"/>
          <w:szCs w:val="20"/>
        </w:rPr>
        <w:t>t</w:t>
      </w:r>
      <w:r w:rsidR="00AE2B85" w:rsidRPr="00AE2B85">
        <w:rPr>
          <w:rFonts w:ascii="Arial" w:hAnsi="Arial" w:cs="Arial"/>
          <w:sz w:val="20"/>
          <w:szCs w:val="20"/>
        </w:rPr>
        <w:t>he UK pub and bar market is</w:t>
      </w:r>
      <w:r w:rsidR="00AE2B85">
        <w:rPr>
          <w:rFonts w:ascii="Arial" w:hAnsi="Arial" w:cs="Arial"/>
          <w:sz w:val="20"/>
          <w:szCs w:val="20"/>
        </w:rPr>
        <w:t xml:space="preserve"> </w:t>
      </w:r>
      <w:r w:rsidR="00AE2B85" w:rsidRPr="00AE2B85">
        <w:rPr>
          <w:rFonts w:ascii="Arial" w:hAnsi="Arial" w:cs="Arial"/>
          <w:sz w:val="20"/>
          <w:szCs w:val="20"/>
        </w:rPr>
        <w:t>expected to see the bulk of its market</w:t>
      </w:r>
      <w:r w:rsidR="00AE2B85">
        <w:rPr>
          <w:rFonts w:ascii="Arial" w:hAnsi="Arial" w:cs="Arial"/>
          <w:sz w:val="20"/>
          <w:szCs w:val="20"/>
        </w:rPr>
        <w:t xml:space="preserve"> </w:t>
      </w:r>
      <w:r w:rsidR="00AE2B85" w:rsidRPr="00AE2B85">
        <w:rPr>
          <w:rFonts w:ascii="Arial" w:hAnsi="Arial" w:cs="Arial"/>
          <w:sz w:val="20"/>
          <w:szCs w:val="20"/>
        </w:rPr>
        <w:t xml:space="preserve">recovery in 2022, </w:t>
      </w:r>
      <w:r w:rsidR="00AE2B85">
        <w:rPr>
          <w:rFonts w:ascii="Arial" w:hAnsi="Arial" w:cs="Arial"/>
          <w:sz w:val="20"/>
          <w:szCs w:val="20"/>
        </w:rPr>
        <w:t>reaching a value of £22.6bn, 99% of its 2019 market value. This f</w:t>
      </w:r>
      <w:r w:rsidR="00AE2B85" w:rsidRPr="00AE2B85">
        <w:rPr>
          <w:rFonts w:ascii="Arial" w:hAnsi="Arial" w:cs="Arial"/>
          <w:sz w:val="20"/>
          <w:szCs w:val="20"/>
        </w:rPr>
        <w:t>ollow</w:t>
      </w:r>
      <w:r w:rsidR="00AE2B85">
        <w:rPr>
          <w:rFonts w:ascii="Arial" w:hAnsi="Arial" w:cs="Arial"/>
          <w:sz w:val="20"/>
          <w:szCs w:val="20"/>
        </w:rPr>
        <w:t>s</w:t>
      </w:r>
      <w:r w:rsidR="00AE2B85" w:rsidRPr="00AE2B85">
        <w:rPr>
          <w:rFonts w:ascii="Arial" w:hAnsi="Arial" w:cs="Arial"/>
          <w:sz w:val="20"/>
          <w:szCs w:val="20"/>
        </w:rPr>
        <w:t xml:space="preserve"> a</w:t>
      </w:r>
      <w:r w:rsidR="00AE2B85">
        <w:rPr>
          <w:rFonts w:ascii="Arial" w:hAnsi="Arial" w:cs="Arial"/>
          <w:sz w:val="20"/>
          <w:szCs w:val="20"/>
        </w:rPr>
        <w:t xml:space="preserve"> </w:t>
      </w:r>
      <w:r w:rsidR="00AE2B85" w:rsidRPr="00AE2B85">
        <w:rPr>
          <w:rFonts w:ascii="Arial" w:hAnsi="Arial" w:cs="Arial"/>
          <w:sz w:val="20"/>
          <w:szCs w:val="20"/>
        </w:rPr>
        <w:t xml:space="preserve">hampered recovery in 2021 </w:t>
      </w:r>
      <w:r w:rsidR="00AE2B85">
        <w:rPr>
          <w:rFonts w:ascii="Arial" w:hAnsi="Arial" w:cs="Arial"/>
          <w:sz w:val="20"/>
          <w:szCs w:val="20"/>
        </w:rPr>
        <w:t xml:space="preserve">due to </w:t>
      </w:r>
      <w:r w:rsidR="00AE2B85" w:rsidRPr="00AE2B85">
        <w:rPr>
          <w:rFonts w:ascii="Arial" w:hAnsi="Arial" w:cs="Arial"/>
          <w:sz w:val="20"/>
          <w:szCs w:val="20"/>
        </w:rPr>
        <w:t>continued trading restrictions and</w:t>
      </w:r>
      <w:r w:rsidR="00AE2B85">
        <w:rPr>
          <w:rFonts w:ascii="Arial" w:hAnsi="Arial" w:cs="Arial"/>
          <w:sz w:val="20"/>
          <w:szCs w:val="20"/>
        </w:rPr>
        <w:t xml:space="preserve"> </w:t>
      </w:r>
      <w:r w:rsidR="00AE2B85" w:rsidRPr="00AE2B85">
        <w:rPr>
          <w:rFonts w:ascii="Arial" w:hAnsi="Arial" w:cs="Arial"/>
          <w:sz w:val="20"/>
          <w:szCs w:val="20"/>
        </w:rPr>
        <w:t>strong risk aversion among</w:t>
      </w:r>
      <w:r w:rsidR="00AE2B85">
        <w:rPr>
          <w:rFonts w:ascii="Arial" w:hAnsi="Arial" w:cs="Arial"/>
          <w:sz w:val="20"/>
          <w:szCs w:val="20"/>
        </w:rPr>
        <w:t xml:space="preserve"> </w:t>
      </w:r>
      <w:r w:rsidR="00AE2B85" w:rsidRPr="00AE2B85">
        <w:rPr>
          <w:rFonts w:ascii="Arial" w:hAnsi="Arial" w:cs="Arial"/>
          <w:sz w:val="20"/>
          <w:szCs w:val="20"/>
        </w:rPr>
        <w:t>consumers.</w:t>
      </w:r>
    </w:p>
    <w:p w14:paraId="4177FE36" w14:textId="7023E638" w:rsidR="00AE2B85" w:rsidRDefault="00AE2B85" w:rsidP="00AE2B85">
      <w:pPr>
        <w:rPr>
          <w:rFonts w:ascii="Arial" w:hAnsi="Arial" w:cs="Arial"/>
          <w:sz w:val="20"/>
          <w:szCs w:val="20"/>
        </w:rPr>
      </w:pPr>
      <w:r w:rsidRPr="00AE2B85">
        <w:rPr>
          <w:rFonts w:ascii="Arial" w:hAnsi="Arial" w:cs="Arial"/>
          <w:sz w:val="20"/>
          <w:szCs w:val="20"/>
        </w:rPr>
        <w:t xml:space="preserve">The managed, </w:t>
      </w:r>
      <w:proofErr w:type="gramStart"/>
      <w:r w:rsidRPr="00AE2B85">
        <w:rPr>
          <w:rFonts w:ascii="Arial" w:hAnsi="Arial" w:cs="Arial"/>
          <w:sz w:val="20"/>
          <w:szCs w:val="20"/>
        </w:rPr>
        <w:t>branded</w:t>
      </w:r>
      <w:proofErr w:type="gramEnd"/>
      <w:r w:rsidRPr="00AE2B85">
        <w:rPr>
          <w:rFonts w:ascii="Arial" w:hAnsi="Arial" w:cs="Arial"/>
          <w:sz w:val="20"/>
          <w:szCs w:val="20"/>
        </w:rPr>
        <w:t xml:space="preserve"> and franchised</w:t>
      </w:r>
      <w:r>
        <w:rPr>
          <w:rFonts w:ascii="Arial" w:hAnsi="Arial" w:cs="Arial"/>
          <w:sz w:val="20"/>
          <w:szCs w:val="20"/>
        </w:rPr>
        <w:t xml:space="preserve"> </w:t>
      </w:r>
      <w:r w:rsidRPr="00AE2B85">
        <w:rPr>
          <w:rFonts w:ascii="Arial" w:hAnsi="Arial" w:cs="Arial"/>
          <w:sz w:val="20"/>
          <w:szCs w:val="20"/>
        </w:rPr>
        <w:t>segment will lead market recovery</w:t>
      </w:r>
      <w:r w:rsidR="0013302C">
        <w:rPr>
          <w:rFonts w:ascii="Arial" w:hAnsi="Arial" w:cs="Arial"/>
          <w:sz w:val="20"/>
          <w:szCs w:val="20"/>
        </w:rPr>
        <w:t>, with turnover growth of +55.2%</w:t>
      </w:r>
      <w:r w:rsidRPr="00AE2B85">
        <w:rPr>
          <w:rFonts w:ascii="Arial" w:hAnsi="Arial" w:cs="Arial"/>
          <w:sz w:val="20"/>
          <w:szCs w:val="20"/>
        </w:rPr>
        <w:t xml:space="preserve"> in</w:t>
      </w:r>
      <w:r w:rsidR="0013302C">
        <w:rPr>
          <w:rFonts w:ascii="Arial" w:hAnsi="Arial" w:cs="Arial"/>
          <w:sz w:val="20"/>
          <w:szCs w:val="20"/>
        </w:rPr>
        <w:t xml:space="preserve"> </w:t>
      </w:r>
      <w:r w:rsidRPr="00AE2B85">
        <w:rPr>
          <w:rFonts w:ascii="Arial" w:hAnsi="Arial" w:cs="Arial"/>
          <w:sz w:val="20"/>
          <w:szCs w:val="20"/>
        </w:rPr>
        <w:t>2022</w:t>
      </w:r>
      <w:r w:rsidR="0013302C">
        <w:rPr>
          <w:rFonts w:ascii="Arial" w:hAnsi="Arial" w:cs="Arial"/>
          <w:sz w:val="20"/>
          <w:szCs w:val="20"/>
        </w:rPr>
        <w:t>. S</w:t>
      </w:r>
      <w:r w:rsidRPr="00AE2B85">
        <w:rPr>
          <w:rFonts w:ascii="Arial" w:hAnsi="Arial" w:cs="Arial"/>
          <w:sz w:val="20"/>
          <w:szCs w:val="20"/>
        </w:rPr>
        <w:t>trong innovation and</w:t>
      </w:r>
      <w:r w:rsidR="0013302C">
        <w:rPr>
          <w:rFonts w:ascii="Arial" w:hAnsi="Arial" w:cs="Arial"/>
          <w:sz w:val="20"/>
          <w:szCs w:val="20"/>
        </w:rPr>
        <w:t xml:space="preserve"> </w:t>
      </w:r>
      <w:r w:rsidRPr="00AE2B85">
        <w:rPr>
          <w:rFonts w:ascii="Arial" w:hAnsi="Arial" w:cs="Arial"/>
          <w:sz w:val="20"/>
          <w:szCs w:val="20"/>
        </w:rPr>
        <w:t>modest physical expansion</w:t>
      </w:r>
      <w:r w:rsidR="0013302C">
        <w:rPr>
          <w:rFonts w:ascii="Arial" w:hAnsi="Arial" w:cs="Arial"/>
          <w:sz w:val="20"/>
          <w:szCs w:val="20"/>
        </w:rPr>
        <w:t>, as well as e</w:t>
      </w:r>
      <w:r w:rsidRPr="00AE2B85">
        <w:rPr>
          <w:rFonts w:ascii="Arial" w:hAnsi="Arial" w:cs="Arial"/>
          <w:sz w:val="20"/>
          <w:szCs w:val="20"/>
        </w:rPr>
        <w:t>vents</w:t>
      </w:r>
      <w:r w:rsidR="0013302C">
        <w:rPr>
          <w:rFonts w:ascii="Arial" w:hAnsi="Arial" w:cs="Arial"/>
          <w:sz w:val="20"/>
          <w:szCs w:val="20"/>
        </w:rPr>
        <w:t xml:space="preserve"> </w:t>
      </w:r>
      <w:r w:rsidRPr="00AE2B85">
        <w:rPr>
          <w:rFonts w:ascii="Arial" w:hAnsi="Arial" w:cs="Arial"/>
          <w:sz w:val="20"/>
          <w:szCs w:val="20"/>
        </w:rPr>
        <w:t xml:space="preserve">including the </w:t>
      </w:r>
      <w:r w:rsidR="00343A80">
        <w:rPr>
          <w:rFonts w:ascii="Arial" w:hAnsi="Arial" w:cs="Arial"/>
          <w:sz w:val="20"/>
          <w:szCs w:val="20"/>
        </w:rPr>
        <w:t>Q</w:t>
      </w:r>
      <w:r w:rsidRPr="00AE2B85">
        <w:rPr>
          <w:rFonts w:ascii="Arial" w:hAnsi="Arial" w:cs="Arial"/>
          <w:sz w:val="20"/>
          <w:szCs w:val="20"/>
        </w:rPr>
        <w:t>ueen</w:t>
      </w:r>
      <w:r w:rsidR="00343A80">
        <w:rPr>
          <w:rFonts w:ascii="Arial" w:hAnsi="Arial" w:cs="Arial"/>
          <w:sz w:val="20"/>
          <w:szCs w:val="20"/>
        </w:rPr>
        <w:t>’</w:t>
      </w:r>
      <w:r w:rsidRPr="00AE2B85">
        <w:rPr>
          <w:rFonts w:ascii="Arial" w:hAnsi="Arial" w:cs="Arial"/>
          <w:sz w:val="20"/>
          <w:szCs w:val="20"/>
        </w:rPr>
        <w:t>s Jubilee and FIFA World Cup will help boost the</w:t>
      </w:r>
      <w:r w:rsidR="0013302C">
        <w:rPr>
          <w:rFonts w:ascii="Arial" w:hAnsi="Arial" w:cs="Arial"/>
          <w:sz w:val="20"/>
          <w:szCs w:val="20"/>
        </w:rPr>
        <w:t xml:space="preserve"> </w:t>
      </w:r>
      <w:r w:rsidRPr="00AE2B85">
        <w:rPr>
          <w:rFonts w:ascii="Arial" w:hAnsi="Arial" w:cs="Arial"/>
          <w:sz w:val="20"/>
          <w:szCs w:val="20"/>
        </w:rPr>
        <w:t>market.</w:t>
      </w:r>
    </w:p>
    <w:p w14:paraId="2275C0A4" w14:textId="37712A79" w:rsidR="0013302C" w:rsidRDefault="0013302C" w:rsidP="0013302C">
      <w:pPr>
        <w:rPr>
          <w:rFonts w:ascii="Arial" w:hAnsi="Arial" w:cs="Arial"/>
          <w:sz w:val="20"/>
          <w:szCs w:val="20"/>
        </w:rPr>
      </w:pPr>
      <w:r w:rsidRPr="0013302C">
        <w:rPr>
          <w:rFonts w:ascii="Arial" w:hAnsi="Arial" w:cs="Arial"/>
          <w:sz w:val="20"/>
          <w:szCs w:val="20"/>
        </w:rPr>
        <w:t>Strong turnover growth among the top ten pub and bar brands is expected in 2022, as brands hardest hit by</w:t>
      </w:r>
      <w:r>
        <w:rPr>
          <w:rFonts w:ascii="Arial" w:hAnsi="Arial" w:cs="Arial"/>
          <w:sz w:val="20"/>
          <w:szCs w:val="20"/>
        </w:rPr>
        <w:t xml:space="preserve"> </w:t>
      </w:r>
      <w:r w:rsidRPr="0013302C">
        <w:rPr>
          <w:rFonts w:ascii="Arial" w:hAnsi="Arial" w:cs="Arial"/>
          <w:sz w:val="20"/>
          <w:szCs w:val="20"/>
        </w:rPr>
        <w:t xml:space="preserve">coronavirus restrictions recover sales. </w:t>
      </w:r>
      <w:r>
        <w:rPr>
          <w:rFonts w:ascii="Arial" w:hAnsi="Arial" w:cs="Arial"/>
          <w:sz w:val="20"/>
          <w:szCs w:val="20"/>
        </w:rPr>
        <w:t>Of the top 10 brands by turnover, Ember Inns, Toby Carvery and Beefeater are expected to see the fastest growth in 2022.</w:t>
      </w:r>
    </w:p>
    <w:p w14:paraId="0B774285" w14:textId="47912A2C" w:rsidR="0013302C" w:rsidRDefault="0013302C" w:rsidP="0013302C">
      <w:pPr>
        <w:rPr>
          <w:rFonts w:ascii="Arial" w:hAnsi="Arial" w:cs="Arial"/>
          <w:sz w:val="20"/>
          <w:szCs w:val="20"/>
        </w:rPr>
      </w:pPr>
      <w:r>
        <w:rPr>
          <w:rFonts w:ascii="Arial" w:hAnsi="Arial" w:cs="Arial"/>
          <w:sz w:val="20"/>
          <w:szCs w:val="20"/>
        </w:rPr>
        <w:t xml:space="preserve">Looking at the channel overall, from a turnover perspective, Cookhouse &amp; Pub, Simmons, Dirty Martini and Nicholson’s are set to see the fastest growth within the market. </w:t>
      </w:r>
      <w:r w:rsidRPr="0013302C">
        <w:rPr>
          <w:rFonts w:ascii="Arial" w:hAnsi="Arial" w:cs="Arial"/>
          <w:sz w:val="20"/>
          <w:szCs w:val="20"/>
        </w:rPr>
        <w:t>Cookhouse &amp; Pub is expected to lead turnover growth in 2022.</w:t>
      </w:r>
      <w:r>
        <w:rPr>
          <w:rFonts w:ascii="Arial" w:hAnsi="Arial" w:cs="Arial"/>
          <w:sz w:val="20"/>
          <w:szCs w:val="20"/>
        </w:rPr>
        <w:t xml:space="preserve"> </w:t>
      </w:r>
      <w:r w:rsidRPr="0013302C">
        <w:rPr>
          <w:rFonts w:ascii="Arial" w:hAnsi="Arial" w:cs="Arial"/>
          <w:sz w:val="20"/>
          <w:szCs w:val="20"/>
        </w:rPr>
        <w:t>The brand’s value led proposition offers promotions including</w:t>
      </w:r>
      <w:r>
        <w:rPr>
          <w:rFonts w:ascii="Arial" w:hAnsi="Arial" w:cs="Arial"/>
          <w:sz w:val="20"/>
          <w:szCs w:val="20"/>
        </w:rPr>
        <w:t xml:space="preserve"> </w:t>
      </w:r>
      <w:r w:rsidRPr="0013302C">
        <w:rPr>
          <w:rFonts w:ascii="Arial" w:hAnsi="Arial" w:cs="Arial"/>
          <w:sz w:val="20"/>
          <w:szCs w:val="20"/>
        </w:rPr>
        <w:t>2 mains for £8.99 and three course children’s meal deals for £4.99, which will appeal to families, especially as the cost of living</w:t>
      </w:r>
      <w:r>
        <w:rPr>
          <w:rFonts w:ascii="Arial" w:hAnsi="Arial" w:cs="Arial"/>
          <w:sz w:val="20"/>
          <w:szCs w:val="20"/>
        </w:rPr>
        <w:t xml:space="preserve"> </w:t>
      </w:r>
      <w:r w:rsidRPr="0013302C">
        <w:rPr>
          <w:rFonts w:ascii="Arial" w:hAnsi="Arial" w:cs="Arial"/>
          <w:sz w:val="20"/>
          <w:szCs w:val="20"/>
        </w:rPr>
        <w:t>continues to increase.</w:t>
      </w:r>
    </w:p>
    <w:p w14:paraId="23D1B7AE" w14:textId="582EC2D3" w:rsidR="0013302C" w:rsidRDefault="003D61E1" w:rsidP="0013302C">
      <w:pPr>
        <w:rPr>
          <w:rFonts w:ascii="Arial" w:hAnsi="Arial" w:cs="Arial"/>
          <w:i/>
          <w:iCs/>
          <w:sz w:val="20"/>
          <w:szCs w:val="20"/>
        </w:rPr>
      </w:pPr>
      <w:r w:rsidRPr="009400D0">
        <w:rPr>
          <w:rFonts w:ascii="Arial" w:hAnsi="Arial" w:cs="Arial"/>
          <w:sz w:val="20"/>
          <w:szCs w:val="20"/>
        </w:rPr>
        <w:t xml:space="preserve">Commenting on the </w:t>
      </w:r>
      <w:r>
        <w:rPr>
          <w:rFonts w:ascii="Arial" w:hAnsi="Arial" w:cs="Arial"/>
          <w:sz w:val="20"/>
          <w:szCs w:val="20"/>
        </w:rPr>
        <w:t>findings</w:t>
      </w:r>
      <w:r w:rsidRPr="009400D0">
        <w:rPr>
          <w:rFonts w:ascii="Arial" w:hAnsi="Arial" w:cs="Arial"/>
          <w:sz w:val="20"/>
          <w:szCs w:val="20"/>
        </w:rPr>
        <w:t xml:space="preserve">, </w:t>
      </w:r>
      <w:r>
        <w:rPr>
          <w:rFonts w:ascii="Arial" w:hAnsi="Arial" w:cs="Arial"/>
          <w:sz w:val="20"/>
          <w:szCs w:val="20"/>
        </w:rPr>
        <w:t xml:space="preserve">Senior </w:t>
      </w:r>
      <w:r w:rsidRPr="009400D0">
        <w:rPr>
          <w:rFonts w:ascii="Arial" w:hAnsi="Arial" w:cs="Arial"/>
          <w:sz w:val="20"/>
          <w:szCs w:val="20"/>
        </w:rPr>
        <w:t xml:space="preserve">Insight </w:t>
      </w:r>
      <w:r>
        <w:rPr>
          <w:rFonts w:ascii="Arial" w:hAnsi="Arial" w:cs="Arial"/>
          <w:sz w:val="20"/>
          <w:szCs w:val="20"/>
        </w:rPr>
        <w:t>Manager</w:t>
      </w:r>
      <w:r w:rsidRPr="009400D0">
        <w:rPr>
          <w:rFonts w:ascii="Arial" w:hAnsi="Arial" w:cs="Arial"/>
          <w:sz w:val="20"/>
          <w:szCs w:val="20"/>
        </w:rPr>
        <w:t xml:space="preserve"> at Lumina Intelligence, </w:t>
      </w:r>
      <w:r>
        <w:rPr>
          <w:rFonts w:ascii="Arial" w:hAnsi="Arial" w:cs="Arial"/>
          <w:sz w:val="20"/>
          <w:szCs w:val="20"/>
        </w:rPr>
        <w:t>Katherine Prowse</w:t>
      </w:r>
      <w:r w:rsidRPr="009400D0">
        <w:rPr>
          <w:rFonts w:ascii="Arial" w:hAnsi="Arial" w:cs="Arial"/>
          <w:sz w:val="20"/>
          <w:szCs w:val="20"/>
        </w:rPr>
        <w:t xml:space="preserve">, said: </w:t>
      </w:r>
      <w:r w:rsidRPr="009400D0">
        <w:rPr>
          <w:rFonts w:ascii="Arial" w:hAnsi="Arial" w:cs="Arial"/>
          <w:i/>
          <w:iCs/>
          <w:sz w:val="20"/>
          <w:szCs w:val="20"/>
        </w:rPr>
        <w:t>“</w:t>
      </w:r>
      <w:r w:rsidR="0013302C">
        <w:rPr>
          <w:rFonts w:ascii="Arial" w:hAnsi="Arial" w:cs="Arial"/>
          <w:i/>
          <w:iCs/>
          <w:sz w:val="20"/>
          <w:szCs w:val="20"/>
        </w:rPr>
        <w:t xml:space="preserve">Despite the rising cost of living, we are expecting the UK pub and bar market to make a significant recovery in 2022, almost reaching its 2019 pre-pandemic market value. Large nationwide events such as the World Cup and Queen’s Jubilee will provide a </w:t>
      </w:r>
      <w:proofErr w:type="gramStart"/>
      <w:r w:rsidR="0013302C">
        <w:rPr>
          <w:rFonts w:ascii="Arial" w:hAnsi="Arial" w:cs="Arial"/>
          <w:i/>
          <w:iCs/>
          <w:sz w:val="20"/>
          <w:szCs w:val="20"/>
        </w:rPr>
        <w:t>much needed</w:t>
      </w:r>
      <w:proofErr w:type="gramEnd"/>
      <w:r w:rsidR="0013302C">
        <w:rPr>
          <w:rFonts w:ascii="Arial" w:hAnsi="Arial" w:cs="Arial"/>
          <w:i/>
          <w:iCs/>
          <w:sz w:val="20"/>
          <w:szCs w:val="20"/>
        </w:rPr>
        <w:t xml:space="preserve"> boost to the sector. We expect wet-led brands to make a strong recovery, particularly as city centre footfall recovers. However, it will be experience-led operators that lead recovery in 2022. Brands that offer </w:t>
      </w:r>
      <w:r w:rsidR="0013302C" w:rsidRPr="0013302C">
        <w:rPr>
          <w:rFonts w:ascii="Arial" w:hAnsi="Arial" w:cs="Arial"/>
          <w:i/>
          <w:iCs/>
          <w:sz w:val="20"/>
          <w:szCs w:val="20"/>
        </w:rPr>
        <w:t>casual but</w:t>
      </w:r>
      <w:r w:rsidR="0013302C">
        <w:rPr>
          <w:rFonts w:ascii="Arial" w:hAnsi="Arial" w:cs="Arial"/>
          <w:i/>
          <w:iCs/>
          <w:sz w:val="20"/>
          <w:szCs w:val="20"/>
        </w:rPr>
        <w:t xml:space="preserve"> </w:t>
      </w:r>
      <w:r w:rsidR="0013302C" w:rsidRPr="0013302C">
        <w:rPr>
          <w:rFonts w:ascii="Arial" w:hAnsi="Arial" w:cs="Arial"/>
          <w:i/>
          <w:iCs/>
          <w:sz w:val="20"/>
          <w:szCs w:val="20"/>
        </w:rPr>
        <w:t>experiential settings</w:t>
      </w:r>
      <w:r w:rsidR="0013302C">
        <w:rPr>
          <w:rFonts w:ascii="Arial" w:hAnsi="Arial" w:cs="Arial"/>
          <w:i/>
          <w:iCs/>
          <w:sz w:val="20"/>
          <w:szCs w:val="20"/>
        </w:rPr>
        <w:t xml:space="preserve"> that</w:t>
      </w:r>
      <w:r w:rsidR="0013302C" w:rsidRPr="0013302C">
        <w:rPr>
          <w:rFonts w:ascii="Arial" w:hAnsi="Arial" w:cs="Arial"/>
          <w:i/>
          <w:iCs/>
          <w:sz w:val="20"/>
          <w:szCs w:val="20"/>
        </w:rPr>
        <w:t xml:space="preserve"> capitalis</w:t>
      </w:r>
      <w:r w:rsidR="0013302C">
        <w:rPr>
          <w:rFonts w:ascii="Arial" w:hAnsi="Arial" w:cs="Arial"/>
          <w:i/>
          <w:iCs/>
          <w:sz w:val="20"/>
          <w:szCs w:val="20"/>
        </w:rPr>
        <w:t xml:space="preserve">e </w:t>
      </w:r>
      <w:r w:rsidR="0013302C" w:rsidRPr="0013302C">
        <w:rPr>
          <w:rFonts w:ascii="Arial" w:hAnsi="Arial" w:cs="Arial"/>
          <w:i/>
          <w:iCs/>
          <w:sz w:val="20"/>
          <w:szCs w:val="20"/>
        </w:rPr>
        <w:t>on</w:t>
      </w:r>
      <w:r w:rsidR="0013302C">
        <w:rPr>
          <w:rFonts w:ascii="Arial" w:hAnsi="Arial" w:cs="Arial"/>
          <w:i/>
          <w:iCs/>
          <w:sz w:val="20"/>
          <w:szCs w:val="20"/>
        </w:rPr>
        <w:t xml:space="preserve"> </w:t>
      </w:r>
      <w:r w:rsidR="0013302C" w:rsidRPr="0013302C">
        <w:rPr>
          <w:rFonts w:ascii="Arial" w:hAnsi="Arial" w:cs="Arial"/>
          <w:i/>
          <w:iCs/>
          <w:sz w:val="20"/>
          <w:szCs w:val="20"/>
        </w:rPr>
        <w:t xml:space="preserve">sporting events and </w:t>
      </w:r>
      <w:r w:rsidR="0013302C">
        <w:rPr>
          <w:rFonts w:ascii="Arial" w:hAnsi="Arial" w:cs="Arial"/>
          <w:i/>
          <w:iCs/>
          <w:sz w:val="20"/>
          <w:szCs w:val="20"/>
        </w:rPr>
        <w:t xml:space="preserve">offer </w:t>
      </w:r>
      <w:r w:rsidR="0013302C" w:rsidRPr="0013302C">
        <w:rPr>
          <w:rFonts w:ascii="Arial" w:hAnsi="Arial" w:cs="Arial"/>
          <w:i/>
          <w:iCs/>
          <w:sz w:val="20"/>
          <w:szCs w:val="20"/>
        </w:rPr>
        <w:t>drink</w:t>
      </w:r>
      <w:r w:rsidR="0013302C">
        <w:rPr>
          <w:rFonts w:ascii="Arial" w:hAnsi="Arial" w:cs="Arial"/>
          <w:i/>
          <w:iCs/>
          <w:sz w:val="20"/>
          <w:szCs w:val="20"/>
        </w:rPr>
        <w:t xml:space="preserve"> </w:t>
      </w:r>
      <w:r w:rsidR="0013302C" w:rsidRPr="0013302C">
        <w:rPr>
          <w:rFonts w:ascii="Arial" w:hAnsi="Arial" w:cs="Arial"/>
          <w:i/>
          <w:iCs/>
          <w:sz w:val="20"/>
          <w:szCs w:val="20"/>
        </w:rPr>
        <w:t>masterclasses.</w:t>
      </w:r>
    </w:p>
    <w:p w14:paraId="6D3F34F0" w14:textId="753D3DB4" w:rsidR="003E204B" w:rsidRDefault="00B54F43" w:rsidP="009400D0">
      <w:pPr>
        <w:rPr>
          <w:rFonts w:ascii="Arial" w:hAnsi="Arial" w:cs="Arial"/>
          <w:sz w:val="20"/>
          <w:szCs w:val="20"/>
        </w:rPr>
      </w:pPr>
      <w:r>
        <w:rPr>
          <w:rFonts w:ascii="Arial" w:hAnsi="Arial" w:cs="Arial"/>
          <w:sz w:val="20"/>
          <w:szCs w:val="20"/>
        </w:rPr>
        <w:t xml:space="preserve">Find out more about Lumina Intelligence’s </w:t>
      </w:r>
      <w:r w:rsidR="00DF6CC2">
        <w:rPr>
          <w:rFonts w:ascii="Arial" w:hAnsi="Arial" w:cs="Arial"/>
          <w:sz w:val="20"/>
          <w:szCs w:val="20"/>
        </w:rPr>
        <w:t>Operator Data Index</w:t>
      </w:r>
      <w:r>
        <w:rPr>
          <w:rFonts w:ascii="Arial" w:hAnsi="Arial" w:cs="Arial"/>
          <w:sz w:val="20"/>
          <w:szCs w:val="20"/>
        </w:rPr>
        <w:t xml:space="preserve"> </w:t>
      </w:r>
      <w:hyperlink r:id="rId7" w:history="1">
        <w:r w:rsidRPr="00B54F43">
          <w:rPr>
            <w:rStyle w:val="Hyperlink"/>
            <w:rFonts w:ascii="Arial" w:hAnsi="Arial" w:cs="Arial"/>
            <w:sz w:val="20"/>
            <w:szCs w:val="20"/>
          </w:rPr>
          <w:t>here</w:t>
        </w:r>
      </w:hyperlink>
      <w:r>
        <w:rPr>
          <w:rFonts w:ascii="Arial" w:hAnsi="Arial" w:cs="Arial"/>
          <w:sz w:val="20"/>
          <w:szCs w:val="20"/>
        </w:rPr>
        <w:t>.</w:t>
      </w:r>
    </w:p>
    <w:p w14:paraId="37CCD9B8" w14:textId="2707B1DD" w:rsidR="00C16ADB" w:rsidRPr="00550B08" w:rsidRDefault="00C16ADB" w:rsidP="007446FD">
      <w:pPr>
        <w:rPr>
          <w:rFonts w:ascii="Arial" w:hAnsi="Arial" w:cs="Arial"/>
          <w:b/>
          <w:bCs/>
        </w:rPr>
      </w:pPr>
      <w:r w:rsidRPr="00550B08">
        <w:rPr>
          <w:rFonts w:ascii="Arial" w:hAnsi="Arial" w:cs="Arial"/>
          <w:b/>
          <w:bCs/>
        </w:rPr>
        <w:t>ENDS</w:t>
      </w:r>
    </w:p>
    <w:p w14:paraId="2DC5233D" w14:textId="7EE5B200" w:rsidR="00ED3ABD" w:rsidRPr="00550B08" w:rsidRDefault="00ED3ABD">
      <w:pPr>
        <w:rPr>
          <w:rFonts w:ascii="Arial" w:hAnsi="Arial" w:cs="Arial"/>
          <w:sz w:val="20"/>
          <w:szCs w:val="20"/>
        </w:rPr>
      </w:pPr>
    </w:p>
    <w:p w14:paraId="305D5469" w14:textId="707DFB05" w:rsidR="00550B08" w:rsidRPr="00550B08" w:rsidRDefault="00550B08">
      <w:pPr>
        <w:rPr>
          <w:rFonts w:ascii="Arial" w:hAnsi="Arial" w:cs="Arial"/>
          <w:b/>
          <w:bCs/>
          <w:sz w:val="20"/>
          <w:szCs w:val="20"/>
        </w:rPr>
      </w:pPr>
      <w:r w:rsidRPr="00550B08">
        <w:rPr>
          <w:rFonts w:ascii="Arial" w:hAnsi="Arial" w:cs="Arial"/>
          <w:b/>
          <w:bCs/>
          <w:sz w:val="20"/>
          <w:szCs w:val="20"/>
        </w:rPr>
        <w:t>Report methodology</w:t>
      </w:r>
    </w:p>
    <w:p w14:paraId="183715E5" w14:textId="21D2E5DF" w:rsidR="005F1548" w:rsidRPr="002C4E0B" w:rsidRDefault="005F1548" w:rsidP="005F1548">
      <w:pPr>
        <w:rPr>
          <w:rFonts w:ascii="Arial" w:hAnsi="Arial" w:cs="Arial"/>
          <w:sz w:val="20"/>
          <w:szCs w:val="20"/>
        </w:rPr>
      </w:pPr>
      <w:r w:rsidRPr="005F1548">
        <w:rPr>
          <w:rFonts w:ascii="Arial" w:hAnsi="Arial" w:cs="Arial"/>
          <w:sz w:val="20"/>
          <w:szCs w:val="20"/>
        </w:rPr>
        <w:t xml:space="preserve">The Lumina Intelligence Operator Data Index is a tool that </w:t>
      </w:r>
      <w:r w:rsidR="002C4E0B">
        <w:rPr>
          <w:rFonts w:ascii="Arial" w:hAnsi="Arial" w:cs="Arial"/>
          <w:sz w:val="20"/>
          <w:szCs w:val="20"/>
        </w:rPr>
        <w:t>comprises c</w:t>
      </w:r>
      <w:r w:rsidR="002C4E0B" w:rsidRPr="002C4E0B">
        <w:rPr>
          <w:rFonts w:ascii="Arial" w:hAnsi="Arial" w:cs="Arial"/>
          <w:sz w:val="20"/>
          <w:szCs w:val="20"/>
        </w:rPr>
        <w:t xml:space="preserve">ontinuous turnover and outlet data on </w:t>
      </w:r>
      <w:r w:rsidR="00343A80">
        <w:rPr>
          <w:rFonts w:ascii="Arial" w:hAnsi="Arial" w:cs="Arial"/>
          <w:sz w:val="20"/>
          <w:szCs w:val="20"/>
        </w:rPr>
        <w:t>3</w:t>
      </w:r>
      <w:r w:rsidR="002C4E0B" w:rsidRPr="002C4E0B">
        <w:rPr>
          <w:rFonts w:ascii="Arial" w:hAnsi="Arial" w:cs="Arial"/>
          <w:sz w:val="20"/>
          <w:szCs w:val="20"/>
        </w:rPr>
        <w:t>00+ UK pub, restaurant, QSR, sandwich and coffee shop operators</w:t>
      </w:r>
      <w:r w:rsidR="002C4E0B">
        <w:rPr>
          <w:rFonts w:ascii="Arial" w:hAnsi="Arial" w:cs="Arial"/>
          <w:sz w:val="20"/>
          <w:szCs w:val="20"/>
        </w:rPr>
        <w:t>, allowing for a</w:t>
      </w:r>
      <w:r w:rsidR="002C4E0B" w:rsidRPr="002C4E0B">
        <w:rPr>
          <w:rFonts w:ascii="Arial" w:hAnsi="Arial" w:cs="Arial"/>
          <w:sz w:val="20"/>
          <w:szCs w:val="20"/>
        </w:rPr>
        <w:t>nalys</w:t>
      </w:r>
      <w:r w:rsidR="002C4E0B">
        <w:rPr>
          <w:rFonts w:ascii="Arial" w:hAnsi="Arial" w:cs="Arial"/>
          <w:sz w:val="20"/>
          <w:szCs w:val="20"/>
        </w:rPr>
        <w:t>is of</w:t>
      </w:r>
      <w:r w:rsidR="002C4E0B" w:rsidRPr="002C4E0B">
        <w:rPr>
          <w:rFonts w:ascii="Arial" w:hAnsi="Arial" w:cs="Arial"/>
          <w:sz w:val="20"/>
          <w:szCs w:val="20"/>
        </w:rPr>
        <w:t xml:space="preserve"> the leading and fastest growing brands.</w:t>
      </w:r>
    </w:p>
    <w:p w14:paraId="4CEA97D8" w14:textId="099E47D9" w:rsidR="00ED3ABD" w:rsidRPr="00550B08" w:rsidRDefault="00ED3ABD" w:rsidP="005F1548">
      <w:pPr>
        <w:rPr>
          <w:rFonts w:ascii="Arial" w:hAnsi="Arial" w:cs="Arial"/>
          <w:b/>
          <w:bCs/>
          <w:sz w:val="20"/>
          <w:szCs w:val="20"/>
        </w:rPr>
      </w:pPr>
      <w:r w:rsidRPr="00550B08">
        <w:rPr>
          <w:rFonts w:ascii="Arial" w:hAnsi="Arial" w:cs="Arial"/>
          <w:b/>
          <w:bCs/>
          <w:sz w:val="20"/>
          <w:szCs w:val="20"/>
        </w:rPr>
        <w:t>About Lumina Intelligence</w:t>
      </w:r>
    </w:p>
    <w:p w14:paraId="76264BC3" w14:textId="77777777" w:rsidR="001249C3" w:rsidRPr="001249C3" w:rsidRDefault="001249C3" w:rsidP="001249C3">
      <w:pPr>
        <w:rPr>
          <w:rFonts w:ascii="Arial" w:hAnsi="Arial" w:cs="Arial"/>
          <w:sz w:val="20"/>
          <w:szCs w:val="20"/>
        </w:rPr>
      </w:pPr>
      <w:r w:rsidRPr="001249C3">
        <w:rPr>
          <w:rFonts w:ascii="Arial" w:hAnsi="Arial" w:cs="Arial"/>
          <w:sz w:val="20"/>
          <w:szCs w:val="20"/>
        </w:rPr>
        <w:t xml:space="preserve">Lumina Intelligence inspires the global food and drink sector with deep, actionable insights powered by the world’s best analytics technology. Our products and services are used by the major brands and organisations in these fast moving and growing markets to support business planning, strategic </w:t>
      </w:r>
      <w:proofErr w:type="gramStart"/>
      <w:r w:rsidRPr="001249C3">
        <w:rPr>
          <w:rFonts w:ascii="Arial" w:hAnsi="Arial" w:cs="Arial"/>
          <w:sz w:val="20"/>
          <w:szCs w:val="20"/>
        </w:rPr>
        <w:t>marketing</w:t>
      </w:r>
      <w:proofErr w:type="gramEnd"/>
      <w:r w:rsidRPr="001249C3">
        <w:rPr>
          <w:rFonts w:ascii="Arial" w:hAnsi="Arial" w:cs="Arial"/>
          <w:sz w:val="20"/>
          <w:szCs w:val="20"/>
        </w:rPr>
        <w:t xml:space="preserve"> and new product development. </w:t>
      </w:r>
    </w:p>
    <w:p w14:paraId="36357113" w14:textId="77777777" w:rsidR="001249C3" w:rsidRPr="001249C3" w:rsidRDefault="001249C3" w:rsidP="001249C3">
      <w:pPr>
        <w:rPr>
          <w:rFonts w:ascii="Arial" w:hAnsi="Arial" w:cs="Arial"/>
          <w:sz w:val="20"/>
          <w:szCs w:val="20"/>
        </w:rPr>
      </w:pPr>
      <w:r w:rsidRPr="001249C3">
        <w:rPr>
          <w:rFonts w:ascii="Arial" w:hAnsi="Arial" w:cs="Arial"/>
          <w:sz w:val="20"/>
          <w:szCs w:val="20"/>
        </w:rPr>
        <w:t xml:space="preserve">With offices in London, Chicago, Montpellier, and Singapore, and local on the ground analysts across our businesses, you can trust our market knowledge. We are committed to providing all our customers with up to date accurate information to support critical decision making. </w:t>
      </w:r>
    </w:p>
    <w:p w14:paraId="49E5DCBD" w14:textId="77777777" w:rsidR="001249C3" w:rsidRDefault="001249C3" w:rsidP="001249C3">
      <w:pPr>
        <w:rPr>
          <w:rFonts w:ascii="Arial" w:hAnsi="Arial" w:cs="Arial"/>
          <w:sz w:val="20"/>
          <w:szCs w:val="20"/>
        </w:rPr>
      </w:pPr>
      <w:r w:rsidRPr="001249C3">
        <w:rPr>
          <w:rFonts w:ascii="Arial" w:hAnsi="Arial" w:cs="Arial"/>
          <w:sz w:val="20"/>
          <w:szCs w:val="20"/>
        </w:rPr>
        <w:t xml:space="preserve">Combining the expertise and experience of HIM, MCA Insight and Lumina Intelligence, we are the experts in market and consumer insight across the food &amp; drink and nutrition markets. </w:t>
      </w:r>
    </w:p>
    <w:p w14:paraId="4BD10F37" w14:textId="1716346C" w:rsidR="00113451" w:rsidRPr="00550B08" w:rsidRDefault="00343A80" w:rsidP="001249C3">
      <w:pPr>
        <w:rPr>
          <w:rFonts w:ascii="Arial" w:hAnsi="Arial" w:cs="Arial"/>
          <w:sz w:val="20"/>
          <w:szCs w:val="20"/>
        </w:rPr>
      </w:pPr>
      <w:hyperlink r:id="rId8" w:history="1">
        <w:r w:rsidR="00D308D1" w:rsidRPr="00550B08">
          <w:rPr>
            <w:rStyle w:val="Hyperlink"/>
            <w:rFonts w:ascii="Arial" w:hAnsi="Arial" w:cs="Arial"/>
            <w:sz w:val="20"/>
            <w:szCs w:val="20"/>
          </w:rPr>
          <w:t>https://www.lumina-intelligence.com/</w:t>
        </w:r>
      </w:hyperlink>
    </w:p>
    <w:p w14:paraId="7EB7B16A" w14:textId="77777777" w:rsidR="00113451" w:rsidRPr="00550B08" w:rsidRDefault="00113451">
      <w:pPr>
        <w:rPr>
          <w:rFonts w:ascii="Arial" w:hAnsi="Arial" w:cs="Arial"/>
          <w:sz w:val="20"/>
          <w:szCs w:val="20"/>
        </w:rPr>
      </w:pPr>
    </w:p>
    <w:sectPr w:rsidR="00113451" w:rsidRPr="00550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91863"/>
    <w:multiLevelType w:val="hybridMultilevel"/>
    <w:tmpl w:val="745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A5ECB"/>
    <w:multiLevelType w:val="hybridMultilevel"/>
    <w:tmpl w:val="BBA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41A2B"/>
    <w:multiLevelType w:val="hybridMultilevel"/>
    <w:tmpl w:val="36AC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B449F"/>
    <w:multiLevelType w:val="hybridMultilevel"/>
    <w:tmpl w:val="D530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B7C1F"/>
    <w:multiLevelType w:val="hybridMultilevel"/>
    <w:tmpl w:val="D9FC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84E56"/>
    <w:multiLevelType w:val="hybridMultilevel"/>
    <w:tmpl w:val="5A46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7E268D"/>
    <w:multiLevelType w:val="hybridMultilevel"/>
    <w:tmpl w:val="CEB8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560506"/>
    <w:multiLevelType w:val="hybridMultilevel"/>
    <w:tmpl w:val="EE16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C1E00"/>
    <w:multiLevelType w:val="hybridMultilevel"/>
    <w:tmpl w:val="E7D6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2"/>
  </w:num>
  <w:num w:numId="6">
    <w:abstractNumId w:val="6"/>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8A"/>
    <w:rsid w:val="00072404"/>
    <w:rsid w:val="000809E0"/>
    <w:rsid w:val="000F1972"/>
    <w:rsid w:val="00107E2B"/>
    <w:rsid w:val="00113451"/>
    <w:rsid w:val="00116246"/>
    <w:rsid w:val="001249C3"/>
    <w:rsid w:val="0013302C"/>
    <w:rsid w:val="00134B6F"/>
    <w:rsid w:val="00142DE3"/>
    <w:rsid w:val="0015049C"/>
    <w:rsid w:val="00195F54"/>
    <w:rsid w:val="001A3D4E"/>
    <w:rsid w:val="001C24EF"/>
    <w:rsid w:val="001C50C1"/>
    <w:rsid w:val="001C5B98"/>
    <w:rsid w:val="001C65B6"/>
    <w:rsid w:val="001C7BF1"/>
    <w:rsid w:val="001D4D35"/>
    <w:rsid w:val="00214D95"/>
    <w:rsid w:val="00216F72"/>
    <w:rsid w:val="00240CAC"/>
    <w:rsid w:val="00261F91"/>
    <w:rsid w:val="00297C15"/>
    <w:rsid w:val="002A0F0F"/>
    <w:rsid w:val="002A2047"/>
    <w:rsid w:val="002C4E0B"/>
    <w:rsid w:val="002E22C9"/>
    <w:rsid w:val="002E7454"/>
    <w:rsid w:val="002F089D"/>
    <w:rsid w:val="002F0BB4"/>
    <w:rsid w:val="002F7EAF"/>
    <w:rsid w:val="00302E10"/>
    <w:rsid w:val="00312F51"/>
    <w:rsid w:val="00322B2B"/>
    <w:rsid w:val="00343A80"/>
    <w:rsid w:val="00363346"/>
    <w:rsid w:val="003C4BB2"/>
    <w:rsid w:val="003D61E1"/>
    <w:rsid w:val="003E204B"/>
    <w:rsid w:val="00414095"/>
    <w:rsid w:val="0041755B"/>
    <w:rsid w:val="0044412F"/>
    <w:rsid w:val="004B3902"/>
    <w:rsid w:val="004C063F"/>
    <w:rsid w:val="004D23F6"/>
    <w:rsid w:val="004D2874"/>
    <w:rsid w:val="004E551E"/>
    <w:rsid w:val="004F1FF8"/>
    <w:rsid w:val="00520307"/>
    <w:rsid w:val="00526002"/>
    <w:rsid w:val="005446EA"/>
    <w:rsid w:val="00550B08"/>
    <w:rsid w:val="0055150D"/>
    <w:rsid w:val="00553497"/>
    <w:rsid w:val="00566CAE"/>
    <w:rsid w:val="005A2368"/>
    <w:rsid w:val="005B7E51"/>
    <w:rsid w:val="005F1548"/>
    <w:rsid w:val="005F580C"/>
    <w:rsid w:val="00604B4A"/>
    <w:rsid w:val="0061620B"/>
    <w:rsid w:val="00624D3B"/>
    <w:rsid w:val="00641E54"/>
    <w:rsid w:val="0064772D"/>
    <w:rsid w:val="0065536E"/>
    <w:rsid w:val="006562DA"/>
    <w:rsid w:val="00664850"/>
    <w:rsid w:val="00691E88"/>
    <w:rsid w:val="006E75AA"/>
    <w:rsid w:val="006E79FF"/>
    <w:rsid w:val="006F447C"/>
    <w:rsid w:val="00720ABB"/>
    <w:rsid w:val="007221DF"/>
    <w:rsid w:val="007229E3"/>
    <w:rsid w:val="00725D81"/>
    <w:rsid w:val="007337FD"/>
    <w:rsid w:val="007402DC"/>
    <w:rsid w:val="007446FD"/>
    <w:rsid w:val="007451F1"/>
    <w:rsid w:val="00747CEC"/>
    <w:rsid w:val="00755025"/>
    <w:rsid w:val="0076037A"/>
    <w:rsid w:val="007854AB"/>
    <w:rsid w:val="007A50F0"/>
    <w:rsid w:val="007B62B3"/>
    <w:rsid w:val="007C2AE1"/>
    <w:rsid w:val="007D197C"/>
    <w:rsid w:val="007F3C85"/>
    <w:rsid w:val="00813785"/>
    <w:rsid w:val="008249B4"/>
    <w:rsid w:val="008276B8"/>
    <w:rsid w:val="00831A17"/>
    <w:rsid w:val="00832CF9"/>
    <w:rsid w:val="00846DDB"/>
    <w:rsid w:val="00856858"/>
    <w:rsid w:val="00862CCB"/>
    <w:rsid w:val="00882EC4"/>
    <w:rsid w:val="008A46AD"/>
    <w:rsid w:val="008C2F28"/>
    <w:rsid w:val="008D13FF"/>
    <w:rsid w:val="008D4655"/>
    <w:rsid w:val="008D5C4F"/>
    <w:rsid w:val="008E1A01"/>
    <w:rsid w:val="008E317A"/>
    <w:rsid w:val="008E5A63"/>
    <w:rsid w:val="009400D0"/>
    <w:rsid w:val="00945D1A"/>
    <w:rsid w:val="009508D4"/>
    <w:rsid w:val="00966187"/>
    <w:rsid w:val="00970A81"/>
    <w:rsid w:val="009A6775"/>
    <w:rsid w:val="009C0D6C"/>
    <w:rsid w:val="009C3668"/>
    <w:rsid w:val="009C613A"/>
    <w:rsid w:val="009D1543"/>
    <w:rsid w:val="009F2AD9"/>
    <w:rsid w:val="00A70FE3"/>
    <w:rsid w:val="00A90A13"/>
    <w:rsid w:val="00A935A1"/>
    <w:rsid w:val="00AA4D4A"/>
    <w:rsid w:val="00AC1D47"/>
    <w:rsid w:val="00AD236E"/>
    <w:rsid w:val="00AE2B85"/>
    <w:rsid w:val="00AE6B2F"/>
    <w:rsid w:val="00AF0EB2"/>
    <w:rsid w:val="00B06987"/>
    <w:rsid w:val="00B06B5C"/>
    <w:rsid w:val="00B414CE"/>
    <w:rsid w:val="00B46E6F"/>
    <w:rsid w:val="00B54F43"/>
    <w:rsid w:val="00B616DB"/>
    <w:rsid w:val="00B706E6"/>
    <w:rsid w:val="00B833AA"/>
    <w:rsid w:val="00B96253"/>
    <w:rsid w:val="00BB4747"/>
    <w:rsid w:val="00BD4097"/>
    <w:rsid w:val="00C16ADB"/>
    <w:rsid w:val="00C176BD"/>
    <w:rsid w:val="00C270FD"/>
    <w:rsid w:val="00C30C1F"/>
    <w:rsid w:val="00C4785A"/>
    <w:rsid w:val="00C545F0"/>
    <w:rsid w:val="00C77C17"/>
    <w:rsid w:val="00C86028"/>
    <w:rsid w:val="00CA6670"/>
    <w:rsid w:val="00CD419B"/>
    <w:rsid w:val="00CE6B8A"/>
    <w:rsid w:val="00D25202"/>
    <w:rsid w:val="00D2551A"/>
    <w:rsid w:val="00D308D1"/>
    <w:rsid w:val="00D7181B"/>
    <w:rsid w:val="00DB062C"/>
    <w:rsid w:val="00DC2A7D"/>
    <w:rsid w:val="00DF6CC2"/>
    <w:rsid w:val="00E1777E"/>
    <w:rsid w:val="00E214AC"/>
    <w:rsid w:val="00E25B65"/>
    <w:rsid w:val="00E56A95"/>
    <w:rsid w:val="00E72427"/>
    <w:rsid w:val="00E734FF"/>
    <w:rsid w:val="00E800EF"/>
    <w:rsid w:val="00EA1B39"/>
    <w:rsid w:val="00EA5DC6"/>
    <w:rsid w:val="00EB271F"/>
    <w:rsid w:val="00EB365A"/>
    <w:rsid w:val="00ED2C5E"/>
    <w:rsid w:val="00ED3ABD"/>
    <w:rsid w:val="00EE28D1"/>
    <w:rsid w:val="00EF7048"/>
    <w:rsid w:val="00F10F0C"/>
    <w:rsid w:val="00F16921"/>
    <w:rsid w:val="00F44C06"/>
    <w:rsid w:val="00F51A34"/>
    <w:rsid w:val="00F744AB"/>
    <w:rsid w:val="00F965EF"/>
    <w:rsid w:val="00FB2C7F"/>
    <w:rsid w:val="00FC1A9F"/>
    <w:rsid w:val="00FC5AF0"/>
    <w:rsid w:val="00FE1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E0BE"/>
  <w15:chartTrackingRefBased/>
  <w15:docId w15:val="{DB18318A-1872-42BE-9CEA-53F63272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ABD"/>
    <w:rPr>
      <w:color w:val="0563C1" w:themeColor="hyperlink"/>
      <w:u w:val="single"/>
    </w:rPr>
  </w:style>
  <w:style w:type="character" w:styleId="UnresolvedMention">
    <w:name w:val="Unresolved Mention"/>
    <w:basedOn w:val="DefaultParagraphFont"/>
    <w:uiPriority w:val="99"/>
    <w:semiHidden/>
    <w:unhideWhenUsed/>
    <w:rsid w:val="00ED3ABD"/>
    <w:rPr>
      <w:color w:val="605E5C"/>
      <w:shd w:val="clear" w:color="auto" w:fill="E1DFDD"/>
    </w:rPr>
  </w:style>
  <w:style w:type="paragraph" w:styleId="BalloonText">
    <w:name w:val="Balloon Text"/>
    <w:basedOn w:val="Normal"/>
    <w:link w:val="BalloonTextChar"/>
    <w:uiPriority w:val="99"/>
    <w:semiHidden/>
    <w:unhideWhenUsed/>
    <w:rsid w:val="00846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DDB"/>
    <w:rPr>
      <w:rFonts w:ascii="Segoe UI" w:hAnsi="Segoe UI" w:cs="Segoe UI"/>
      <w:sz w:val="18"/>
      <w:szCs w:val="18"/>
    </w:rPr>
  </w:style>
  <w:style w:type="paragraph" w:styleId="ListParagraph">
    <w:name w:val="List Paragraph"/>
    <w:basedOn w:val="Normal"/>
    <w:uiPriority w:val="34"/>
    <w:qFormat/>
    <w:rsid w:val="00550B08"/>
    <w:pPr>
      <w:ind w:left="720"/>
      <w:contextualSpacing/>
    </w:pPr>
  </w:style>
  <w:style w:type="character" w:styleId="CommentReference">
    <w:name w:val="annotation reference"/>
    <w:basedOn w:val="DefaultParagraphFont"/>
    <w:uiPriority w:val="99"/>
    <w:semiHidden/>
    <w:unhideWhenUsed/>
    <w:rsid w:val="0044412F"/>
    <w:rPr>
      <w:sz w:val="16"/>
      <w:szCs w:val="16"/>
    </w:rPr>
  </w:style>
  <w:style w:type="paragraph" w:styleId="CommentText">
    <w:name w:val="annotation text"/>
    <w:basedOn w:val="Normal"/>
    <w:link w:val="CommentTextChar"/>
    <w:uiPriority w:val="99"/>
    <w:semiHidden/>
    <w:unhideWhenUsed/>
    <w:rsid w:val="0044412F"/>
    <w:pPr>
      <w:spacing w:line="240" w:lineRule="auto"/>
    </w:pPr>
    <w:rPr>
      <w:sz w:val="20"/>
      <w:szCs w:val="20"/>
    </w:rPr>
  </w:style>
  <w:style w:type="character" w:customStyle="1" w:styleId="CommentTextChar">
    <w:name w:val="Comment Text Char"/>
    <w:basedOn w:val="DefaultParagraphFont"/>
    <w:link w:val="CommentText"/>
    <w:uiPriority w:val="99"/>
    <w:semiHidden/>
    <w:rsid w:val="0044412F"/>
    <w:rPr>
      <w:sz w:val="20"/>
      <w:szCs w:val="20"/>
    </w:rPr>
  </w:style>
  <w:style w:type="paragraph" w:styleId="CommentSubject">
    <w:name w:val="annotation subject"/>
    <w:basedOn w:val="CommentText"/>
    <w:next w:val="CommentText"/>
    <w:link w:val="CommentSubjectChar"/>
    <w:uiPriority w:val="99"/>
    <w:semiHidden/>
    <w:unhideWhenUsed/>
    <w:rsid w:val="0044412F"/>
    <w:rPr>
      <w:b/>
      <w:bCs/>
    </w:rPr>
  </w:style>
  <w:style w:type="character" w:customStyle="1" w:styleId="CommentSubjectChar">
    <w:name w:val="Comment Subject Char"/>
    <w:basedOn w:val="CommentTextChar"/>
    <w:link w:val="CommentSubject"/>
    <w:uiPriority w:val="99"/>
    <w:semiHidden/>
    <w:rsid w:val="0044412F"/>
    <w:rPr>
      <w:b/>
      <w:bCs/>
      <w:sz w:val="20"/>
      <w:szCs w:val="20"/>
    </w:rPr>
  </w:style>
  <w:style w:type="paragraph" w:styleId="Revision">
    <w:name w:val="Revision"/>
    <w:hidden/>
    <w:uiPriority w:val="99"/>
    <w:semiHidden/>
    <w:rsid w:val="008E1A01"/>
    <w:pPr>
      <w:spacing w:after="0" w:line="240" w:lineRule="auto"/>
    </w:pPr>
  </w:style>
  <w:style w:type="character" w:styleId="FollowedHyperlink">
    <w:name w:val="FollowedHyperlink"/>
    <w:basedOn w:val="DefaultParagraphFont"/>
    <w:uiPriority w:val="99"/>
    <w:semiHidden/>
    <w:unhideWhenUsed/>
    <w:rsid w:val="001330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mina-intelligence.com/" TargetMode="External"/><Relationship Id="rId3" Type="http://schemas.openxmlformats.org/officeDocument/2006/relationships/settings" Target="settings.xml"/><Relationship Id="rId7" Type="http://schemas.openxmlformats.org/officeDocument/2006/relationships/hyperlink" Target="https://www.lumina-intelligence.com/product/operator-data-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orgio.rigali@lumina-intelligence.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3044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Rigali</dc:creator>
  <cp:keywords/>
  <dc:description/>
  <cp:lastModifiedBy>Giorgio Rigali</cp:lastModifiedBy>
  <cp:revision>2</cp:revision>
  <dcterms:created xsi:type="dcterms:W3CDTF">2022-04-11T07:15:00Z</dcterms:created>
  <dcterms:modified xsi:type="dcterms:W3CDTF">2022-04-11T07:15:00Z</dcterms:modified>
</cp:coreProperties>
</file>