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C7822" w14:textId="19B7A20F" w:rsidR="00ED3ABD" w:rsidRPr="00550B08" w:rsidRDefault="007221DF" w:rsidP="00ED3ABD">
      <w:pPr>
        <w:rPr>
          <w:rFonts w:ascii="Arial" w:hAnsi="Arial" w:cs="Arial"/>
          <w:b/>
          <w:bCs/>
          <w:color w:val="505050"/>
          <w:sz w:val="18"/>
          <w:szCs w:val="18"/>
        </w:rPr>
      </w:pPr>
      <w:r w:rsidRPr="00550B08">
        <w:rPr>
          <w:rFonts w:ascii="Arial" w:hAnsi="Arial" w:cs="Arial"/>
          <w:b/>
          <w:bCs/>
          <w:noProof/>
          <w:color w:val="505050"/>
          <w:sz w:val="18"/>
          <w:szCs w:val="18"/>
        </w:rPr>
        <w:drawing>
          <wp:anchor distT="0" distB="0" distL="114300" distR="114300" simplePos="0" relativeHeight="251658240" behindDoc="1" locked="0" layoutInCell="1" allowOverlap="1" wp14:anchorId="49377F67" wp14:editId="34D0D744">
            <wp:simplePos x="0" y="0"/>
            <wp:positionH relativeFrom="margin">
              <wp:align>right</wp:align>
            </wp:positionH>
            <wp:positionV relativeFrom="paragraph">
              <wp:posOffset>6888</wp:posOffset>
            </wp:positionV>
            <wp:extent cx="1398270" cy="626110"/>
            <wp:effectExtent l="0" t="0" r="0" b="2540"/>
            <wp:wrapTight wrapText="bothSides">
              <wp:wrapPolygon edited="0">
                <wp:start x="0" y="0"/>
                <wp:lineTo x="0" y="21030"/>
                <wp:lineTo x="6768" y="21030"/>
                <wp:lineTo x="9123" y="21030"/>
                <wp:lineTo x="21188" y="21030"/>
                <wp:lineTo x="21188" y="2629"/>
                <wp:lineTo x="14125"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mina Logo Black @1.5x.png"/>
                    <pic:cNvPicPr/>
                  </pic:nvPicPr>
                  <pic:blipFill>
                    <a:blip r:embed="rId5">
                      <a:extLst>
                        <a:ext uri="{28A0092B-C50C-407E-A947-70E740481C1C}">
                          <a14:useLocalDpi xmlns:a14="http://schemas.microsoft.com/office/drawing/2010/main" val="0"/>
                        </a:ext>
                      </a:extLst>
                    </a:blip>
                    <a:stretch>
                      <a:fillRect/>
                    </a:stretch>
                  </pic:blipFill>
                  <pic:spPr>
                    <a:xfrm>
                      <a:off x="0" y="0"/>
                      <a:ext cx="1398270" cy="626110"/>
                    </a:xfrm>
                    <a:prstGeom prst="rect">
                      <a:avLst/>
                    </a:prstGeom>
                  </pic:spPr>
                </pic:pic>
              </a:graphicData>
            </a:graphic>
            <wp14:sizeRelH relativeFrom="margin">
              <wp14:pctWidth>0</wp14:pctWidth>
            </wp14:sizeRelH>
            <wp14:sizeRelV relativeFrom="margin">
              <wp14:pctHeight>0</wp14:pctHeight>
            </wp14:sizeRelV>
          </wp:anchor>
        </w:drawing>
      </w:r>
      <w:r w:rsidR="00ED3ABD" w:rsidRPr="00550B08">
        <w:rPr>
          <w:rFonts w:ascii="Arial" w:hAnsi="Arial" w:cs="Arial"/>
          <w:b/>
          <w:bCs/>
          <w:color w:val="505050"/>
          <w:sz w:val="18"/>
          <w:szCs w:val="18"/>
        </w:rPr>
        <w:t>CONTACT INFORMATION:</w:t>
      </w:r>
    </w:p>
    <w:p w14:paraId="0532A99E" w14:textId="63178E36" w:rsidR="00ED3ABD" w:rsidRPr="00550B08" w:rsidRDefault="00ED3ABD" w:rsidP="00ED3ABD">
      <w:pPr>
        <w:spacing w:after="0" w:line="240" w:lineRule="auto"/>
        <w:rPr>
          <w:rFonts w:ascii="Arial" w:hAnsi="Arial" w:cs="Arial"/>
          <w:b/>
          <w:bCs/>
          <w:color w:val="505050"/>
          <w:sz w:val="18"/>
          <w:szCs w:val="18"/>
        </w:rPr>
      </w:pPr>
      <w:r w:rsidRPr="00550B08">
        <w:rPr>
          <w:rFonts w:ascii="Arial" w:hAnsi="Arial" w:cs="Arial"/>
          <w:b/>
          <w:bCs/>
          <w:color w:val="505050"/>
          <w:sz w:val="18"/>
          <w:szCs w:val="18"/>
        </w:rPr>
        <w:t>Lumina Intelligence</w:t>
      </w:r>
    </w:p>
    <w:p w14:paraId="32951546" w14:textId="0A8BAE7A" w:rsidR="00ED3ABD" w:rsidRPr="00550B08" w:rsidRDefault="00ED3ABD" w:rsidP="00ED3ABD">
      <w:pPr>
        <w:spacing w:after="0" w:line="240" w:lineRule="auto"/>
        <w:rPr>
          <w:rFonts w:ascii="Arial" w:hAnsi="Arial" w:cs="Arial"/>
          <w:b/>
          <w:bCs/>
          <w:color w:val="505050"/>
          <w:sz w:val="18"/>
          <w:szCs w:val="18"/>
        </w:rPr>
      </w:pPr>
      <w:r w:rsidRPr="00550B08">
        <w:rPr>
          <w:rFonts w:ascii="Arial" w:hAnsi="Arial" w:cs="Arial"/>
          <w:b/>
          <w:bCs/>
          <w:color w:val="505050"/>
          <w:sz w:val="18"/>
          <w:szCs w:val="18"/>
        </w:rPr>
        <w:t>Giorgio Rigali</w:t>
      </w:r>
    </w:p>
    <w:p w14:paraId="553A8214" w14:textId="18EC8804" w:rsidR="00ED3ABD" w:rsidRPr="00550B08" w:rsidRDefault="00ED3ABD" w:rsidP="00ED3ABD">
      <w:pPr>
        <w:spacing w:after="0" w:line="240" w:lineRule="auto"/>
        <w:rPr>
          <w:rFonts w:ascii="Arial" w:hAnsi="Arial" w:cs="Arial"/>
          <w:b/>
          <w:bCs/>
          <w:color w:val="505050"/>
          <w:sz w:val="18"/>
          <w:szCs w:val="18"/>
        </w:rPr>
      </w:pPr>
      <w:r w:rsidRPr="00550B08">
        <w:rPr>
          <w:rFonts w:ascii="Arial" w:hAnsi="Arial" w:cs="Arial"/>
          <w:b/>
          <w:bCs/>
          <w:color w:val="505050"/>
          <w:sz w:val="18"/>
          <w:szCs w:val="18"/>
        </w:rPr>
        <w:t>07545990030</w:t>
      </w:r>
    </w:p>
    <w:p w14:paraId="452AC616" w14:textId="35EB428C" w:rsidR="00ED3ABD" w:rsidRPr="00550B08" w:rsidRDefault="0038460D" w:rsidP="00ED3ABD">
      <w:pPr>
        <w:spacing w:after="0" w:line="240" w:lineRule="auto"/>
        <w:rPr>
          <w:rStyle w:val="Hyperlink"/>
          <w:rFonts w:ascii="Arial" w:hAnsi="Arial" w:cs="Arial"/>
          <w:color w:val="505050"/>
          <w:sz w:val="18"/>
          <w:szCs w:val="18"/>
        </w:rPr>
      </w:pPr>
      <w:hyperlink r:id="rId6" w:history="1">
        <w:r w:rsidR="00ED3ABD" w:rsidRPr="00550B08">
          <w:rPr>
            <w:rStyle w:val="Hyperlink"/>
            <w:rFonts w:ascii="Arial" w:hAnsi="Arial" w:cs="Arial"/>
            <w:b/>
            <w:bCs/>
            <w:color w:val="505050"/>
            <w:sz w:val="18"/>
            <w:szCs w:val="18"/>
          </w:rPr>
          <w:t>Giorgio.rigali@lumina-intelligence.co.uk</w:t>
        </w:r>
      </w:hyperlink>
    </w:p>
    <w:p w14:paraId="1D64BCA5" w14:textId="3CA5B9DE" w:rsidR="003C4BB2" w:rsidRPr="00550B08" w:rsidRDefault="003C4BB2" w:rsidP="00ED3ABD">
      <w:pPr>
        <w:spacing w:after="0" w:line="240" w:lineRule="auto"/>
        <w:rPr>
          <w:rStyle w:val="Hyperlink"/>
          <w:rFonts w:ascii="Arial" w:hAnsi="Arial" w:cs="Arial"/>
          <w:color w:val="505050"/>
          <w:sz w:val="18"/>
          <w:szCs w:val="18"/>
        </w:rPr>
      </w:pPr>
    </w:p>
    <w:p w14:paraId="21BA4789" w14:textId="2F1FC822" w:rsidR="00ED3ABD" w:rsidRPr="00550B08" w:rsidRDefault="00CC30CF" w:rsidP="003C4BB2">
      <w:pPr>
        <w:spacing w:after="0" w:line="240" w:lineRule="auto"/>
        <w:rPr>
          <w:rStyle w:val="Hyperlink"/>
          <w:rFonts w:ascii="Arial" w:hAnsi="Arial" w:cs="Arial"/>
          <w:b/>
          <w:bCs/>
          <w:color w:val="505050"/>
          <w:sz w:val="18"/>
          <w:szCs w:val="18"/>
          <w:u w:val="none"/>
        </w:rPr>
      </w:pPr>
      <w:r>
        <w:rPr>
          <w:rStyle w:val="Hyperlink"/>
          <w:rFonts w:ascii="Arial" w:hAnsi="Arial" w:cs="Arial"/>
          <w:b/>
          <w:bCs/>
          <w:color w:val="505050"/>
          <w:sz w:val="18"/>
          <w:szCs w:val="18"/>
          <w:u w:val="none"/>
        </w:rPr>
        <w:t>06</w:t>
      </w:r>
      <w:r w:rsidR="00CD419B">
        <w:rPr>
          <w:rStyle w:val="Hyperlink"/>
          <w:rFonts w:ascii="Arial" w:hAnsi="Arial" w:cs="Arial"/>
          <w:b/>
          <w:bCs/>
          <w:color w:val="505050"/>
          <w:sz w:val="18"/>
          <w:szCs w:val="18"/>
          <w:u w:val="none"/>
        </w:rPr>
        <w:t xml:space="preserve"> </w:t>
      </w:r>
      <w:r w:rsidR="0006497F">
        <w:rPr>
          <w:rStyle w:val="Hyperlink"/>
          <w:rFonts w:ascii="Arial" w:hAnsi="Arial" w:cs="Arial"/>
          <w:b/>
          <w:bCs/>
          <w:color w:val="505050"/>
          <w:sz w:val="18"/>
          <w:szCs w:val="18"/>
          <w:u w:val="none"/>
        </w:rPr>
        <w:t>August</w:t>
      </w:r>
      <w:r w:rsidR="00CD419B">
        <w:rPr>
          <w:rStyle w:val="Hyperlink"/>
          <w:rFonts w:ascii="Arial" w:hAnsi="Arial" w:cs="Arial"/>
          <w:b/>
          <w:bCs/>
          <w:color w:val="505050"/>
          <w:sz w:val="18"/>
          <w:szCs w:val="18"/>
          <w:u w:val="none"/>
        </w:rPr>
        <w:t xml:space="preserve"> </w:t>
      </w:r>
      <w:r w:rsidR="003C4BB2" w:rsidRPr="00550B08">
        <w:rPr>
          <w:rStyle w:val="Hyperlink"/>
          <w:rFonts w:ascii="Arial" w:hAnsi="Arial" w:cs="Arial"/>
          <w:b/>
          <w:bCs/>
          <w:color w:val="505050"/>
          <w:sz w:val="18"/>
          <w:szCs w:val="18"/>
          <w:u w:val="none"/>
        </w:rPr>
        <w:t>202</w:t>
      </w:r>
      <w:r w:rsidR="008C2F28">
        <w:rPr>
          <w:rStyle w:val="Hyperlink"/>
          <w:rFonts w:ascii="Arial" w:hAnsi="Arial" w:cs="Arial"/>
          <w:b/>
          <w:bCs/>
          <w:color w:val="505050"/>
          <w:sz w:val="18"/>
          <w:szCs w:val="18"/>
          <w:u w:val="none"/>
        </w:rPr>
        <w:t>1</w:t>
      </w:r>
    </w:p>
    <w:p w14:paraId="74BC0C7C" w14:textId="77777777" w:rsidR="009400D0" w:rsidRPr="009400D0" w:rsidRDefault="009400D0" w:rsidP="009400D0">
      <w:pPr>
        <w:rPr>
          <w:rFonts w:ascii="Arial" w:hAnsi="Arial" w:cs="Arial"/>
          <w:b/>
          <w:bCs/>
          <w:sz w:val="32"/>
          <w:szCs w:val="32"/>
        </w:rPr>
      </w:pPr>
    </w:p>
    <w:p w14:paraId="20105AB1" w14:textId="738910C5" w:rsidR="000809E0" w:rsidRDefault="009400D0" w:rsidP="009400D0">
      <w:pPr>
        <w:jc w:val="center"/>
        <w:rPr>
          <w:rFonts w:ascii="Arial" w:hAnsi="Arial" w:cs="Arial"/>
          <w:b/>
          <w:bCs/>
          <w:sz w:val="32"/>
          <w:szCs w:val="32"/>
        </w:rPr>
      </w:pPr>
      <w:r w:rsidRPr="009400D0">
        <w:rPr>
          <w:rFonts w:ascii="Arial" w:hAnsi="Arial" w:cs="Arial"/>
          <w:b/>
          <w:bCs/>
          <w:sz w:val="32"/>
          <w:szCs w:val="32"/>
        </w:rPr>
        <w:t xml:space="preserve">Pubs and </w:t>
      </w:r>
      <w:r w:rsidR="0006497F">
        <w:rPr>
          <w:rFonts w:ascii="Arial" w:hAnsi="Arial" w:cs="Arial"/>
          <w:b/>
          <w:bCs/>
          <w:sz w:val="32"/>
          <w:szCs w:val="32"/>
        </w:rPr>
        <w:t>bars</w:t>
      </w:r>
      <w:r w:rsidRPr="009400D0">
        <w:rPr>
          <w:rFonts w:ascii="Arial" w:hAnsi="Arial" w:cs="Arial"/>
          <w:b/>
          <w:bCs/>
          <w:sz w:val="32"/>
          <w:szCs w:val="32"/>
        </w:rPr>
        <w:t xml:space="preserve"> </w:t>
      </w:r>
      <w:r w:rsidR="0006497F">
        <w:rPr>
          <w:rFonts w:ascii="Arial" w:hAnsi="Arial" w:cs="Arial"/>
          <w:b/>
          <w:bCs/>
          <w:sz w:val="32"/>
          <w:szCs w:val="32"/>
        </w:rPr>
        <w:t>grow</w:t>
      </w:r>
      <w:r w:rsidRPr="009400D0">
        <w:rPr>
          <w:rFonts w:ascii="Arial" w:hAnsi="Arial" w:cs="Arial"/>
          <w:b/>
          <w:bCs/>
          <w:sz w:val="32"/>
          <w:szCs w:val="32"/>
        </w:rPr>
        <w:t xml:space="preserve"> channel share, </w:t>
      </w:r>
      <w:r w:rsidR="0006497F">
        <w:rPr>
          <w:rFonts w:ascii="Arial" w:hAnsi="Arial" w:cs="Arial"/>
          <w:b/>
          <w:bCs/>
          <w:sz w:val="32"/>
          <w:szCs w:val="32"/>
        </w:rPr>
        <w:t>as</w:t>
      </w:r>
      <w:r w:rsidRPr="009400D0">
        <w:rPr>
          <w:rFonts w:ascii="Arial" w:hAnsi="Arial" w:cs="Arial"/>
          <w:b/>
          <w:bCs/>
          <w:sz w:val="32"/>
          <w:szCs w:val="32"/>
        </w:rPr>
        <w:t xml:space="preserve"> average spend </w:t>
      </w:r>
      <w:r w:rsidR="0006497F">
        <w:rPr>
          <w:rFonts w:ascii="Arial" w:hAnsi="Arial" w:cs="Arial"/>
          <w:b/>
          <w:bCs/>
          <w:sz w:val="32"/>
          <w:szCs w:val="32"/>
        </w:rPr>
        <w:t>continues to grow</w:t>
      </w:r>
    </w:p>
    <w:p w14:paraId="07B069FB" w14:textId="77777777" w:rsidR="009400D0" w:rsidRDefault="009400D0" w:rsidP="009400D0">
      <w:pPr>
        <w:jc w:val="center"/>
        <w:rPr>
          <w:rFonts w:ascii="Arial" w:hAnsi="Arial" w:cs="Arial"/>
          <w:sz w:val="20"/>
          <w:szCs w:val="20"/>
        </w:rPr>
      </w:pPr>
    </w:p>
    <w:p w14:paraId="6EDD83F5" w14:textId="704D895E" w:rsidR="009400D0" w:rsidRPr="009400D0" w:rsidRDefault="009400D0" w:rsidP="009400D0">
      <w:pPr>
        <w:rPr>
          <w:rFonts w:ascii="Arial" w:hAnsi="Arial" w:cs="Arial"/>
          <w:sz w:val="20"/>
          <w:szCs w:val="20"/>
        </w:rPr>
      </w:pPr>
      <w:r w:rsidRPr="009400D0">
        <w:rPr>
          <w:rFonts w:ascii="Arial" w:hAnsi="Arial" w:cs="Arial"/>
          <w:sz w:val="20"/>
          <w:szCs w:val="20"/>
        </w:rPr>
        <w:t xml:space="preserve">According to the latest data from Lumina Intelligence Eating &amp; Drinking Out Panel, consumer participation in the eating out market grew </w:t>
      </w:r>
      <w:r w:rsidR="0092365C">
        <w:rPr>
          <w:rFonts w:ascii="Arial" w:hAnsi="Arial" w:cs="Arial"/>
          <w:sz w:val="20"/>
          <w:szCs w:val="20"/>
        </w:rPr>
        <w:t>remained stable at 50%</w:t>
      </w:r>
      <w:r w:rsidRPr="009400D0">
        <w:rPr>
          <w:rFonts w:ascii="Arial" w:hAnsi="Arial" w:cs="Arial"/>
          <w:sz w:val="20"/>
          <w:szCs w:val="20"/>
        </w:rPr>
        <w:t xml:space="preserve"> in </w:t>
      </w:r>
      <w:r w:rsidR="009035F0">
        <w:rPr>
          <w:rFonts w:ascii="Arial" w:hAnsi="Arial" w:cs="Arial"/>
          <w:sz w:val="20"/>
          <w:szCs w:val="20"/>
        </w:rPr>
        <w:t xml:space="preserve">the </w:t>
      </w:r>
      <w:r w:rsidRPr="009400D0">
        <w:rPr>
          <w:rFonts w:ascii="Arial" w:hAnsi="Arial" w:cs="Arial"/>
          <w:sz w:val="20"/>
          <w:szCs w:val="20"/>
        </w:rPr>
        <w:t>4 w/e 1</w:t>
      </w:r>
      <w:r w:rsidR="0092365C">
        <w:rPr>
          <w:rFonts w:ascii="Arial" w:hAnsi="Arial" w:cs="Arial"/>
          <w:sz w:val="20"/>
          <w:szCs w:val="20"/>
        </w:rPr>
        <w:t>1</w:t>
      </w:r>
      <w:r w:rsidRPr="009400D0">
        <w:rPr>
          <w:rFonts w:ascii="Arial" w:hAnsi="Arial" w:cs="Arial"/>
          <w:sz w:val="20"/>
          <w:szCs w:val="20"/>
        </w:rPr>
        <w:t xml:space="preserve"> Ju</w:t>
      </w:r>
      <w:r w:rsidR="0092365C">
        <w:rPr>
          <w:rFonts w:ascii="Arial" w:hAnsi="Arial" w:cs="Arial"/>
          <w:sz w:val="20"/>
          <w:szCs w:val="20"/>
        </w:rPr>
        <w:t>ly</w:t>
      </w:r>
      <w:r w:rsidRPr="009400D0">
        <w:rPr>
          <w:rFonts w:ascii="Arial" w:hAnsi="Arial" w:cs="Arial"/>
          <w:sz w:val="20"/>
          <w:szCs w:val="20"/>
        </w:rPr>
        <w:t xml:space="preserve"> 2021 (vs. 4 w/e </w:t>
      </w:r>
      <w:r w:rsidR="0092365C">
        <w:rPr>
          <w:rFonts w:ascii="Arial" w:hAnsi="Arial" w:cs="Arial"/>
          <w:sz w:val="20"/>
          <w:szCs w:val="20"/>
        </w:rPr>
        <w:t>13</w:t>
      </w:r>
      <w:r w:rsidRPr="009400D0">
        <w:rPr>
          <w:rFonts w:ascii="Arial" w:hAnsi="Arial" w:cs="Arial"/>
          <w:sz w:val="20"/>
          <w:szCs w:val="20"/>
        </w:rPr>
        <w:t xml:space="preserve"> </w:t>
      </w:r>
      <w:r w:rsidR="0092365C">
        <w:rPr>
          <w:rFonts w:ascii="Arial" w:hAnsi="Arial" w:cs="Arial"/>
          <w:sz w:val="20"/>
          <w:szCs w:val="20"/>
        </w:rPr>
        <w:t>June</w:t>
      </w:r>
      <w:r w:rsidRPr="009400D0">
        <w:rPr>
          <w:rFonts w:ascii="Arial" w:hAnsi="Arial" w:cs="Arial"/>
          <w:sz w:val="20"/>
          <w:szCs w:val="20"/>
        </w:rPr>
        <w:t xml:space="preserve"> 2021). Visit frequency also</w:t>
      </w:r>
      <w:r w:rsidR="0092365C">
        <w:rPr>
          <w:rFonts w:ascii="Arial" w:hAnsi="Arial" w:cs="Arial"/>
          <w:sz w:val="20"/>
          <w:szCs w:val="20"/>
        </w:rPr>
        <w:t xml:space="preserve"> remained stable at</w:t>
      </w:r>
      <w:r w:rsidRPr="009400D0">
        <w:rPr>
          <w:rFonts w:ascii="Arial" w:hAnsi="Arial" w:cs="Arial"/>
          <w:sz w:val="20"/>
          <w:szCs w:val="20"/>
        </w:rPr>
        <w:t xml:space="preserve"> 1.4 times</w:t>
      </w:r>
      <w:r w:rsidR="0092365C">
        <w:rPr>
          <w:rFonts w:ascii="Arial" w:hAnsi="Arial" w:cs="Arial"/>
          <w:sz w:val="20"/>
          <w:szCs w:val="20"/>
        </w:rPr>
        <w:t xml:space="preserve"> per week</w:t>
      </w:r>
      <w:r w:rsidRPr="009400D0">
        <w:rPr>
          <w:rFonts w:ascii="Arial" w:hAnsi="Arial" w:cs="Arial"/>
          <w:sz w:val="20"/>
          <w:szCs w:val="20"/>
        </w:rPr>
        <w:t xml:space="preserve"> over the same period. </w:t>
      </w:r>
    </w:p>
    <w:p w14:paraId="0862D8A2" w14:textId="6B7E6E27" w:rsidR="0092365C" w:rsidRDefault="009400D0" w:rsidP="009400D0">
      <w:pPr>
        <w:rPr>
          <w:rFonts w:ascii="Arial" w:hAnsi="Arial" w:cs="Arial"/>
          <w:sz w:val="20"/>
          <w:szCs w:val="20"/>
        </w:rPr>
      </w:pPr>
      <w:r w:rsidRPr="009400D0">
        <w:rPr>
          <w:rFonts w:ascii="Arial" w:hAnsi="Arial" w:cs="Arial"/>
          <w:sz w:val="20"/>
          <w:szCs w:val="20"/>
        </w:rPr>
        <w:t>With</w:t>
      </w:r>
      <w:r w:rsidR="0092365C">
        <w:rPr>
          <w:rFonts w:ascii="Arial" w:hAnsi="Arial" w:cs="Arial"/>
          <w:sz w:val="20"/>
          <w:szCs w:val="20"/>
        </w:rPr>
        <w:t xml:space="preserve"> the Euros taking place throughout June and July, </w:t>
      </w:r>
      <w:r w:rsidRPr="009400D0">
        <w:rPr>
          <w:rFonts w:ascii="Arial" w:hAnsi="Arial" w:cs="Arial"/>
          <w:sz w:val="20"/>
          <w:szCs w:val="20"/>
        </w:rPr>
        <w:t xml:space="preserve">there has been a shift in channel share in the last 4 weeks. </w:t>
      </w:r>
      <w:r w:rsidR="0092365C">
        <w:rPr>
          <w:rFonts w:ascii="Arial" w:hAnsi="Arial" w:cs="Arial"/>
          <w:sz w:val="20"/>
          <w:szCs w:val="20"/>
        </w:rPr>
        <w:t>As consumers flocked to catch the football, p</w:t>
      </w:r>
      <w:r w:rsidRPr="009400D0">
        <w:rPr>
          <w:rFonts w:ascii="Arial" w:hAnsi="Arial" w:cs="Arial"/>
          <w:sz w:val="20"/>
          <w:szCs w:val="20"/>
        </w:rPr>
        <w:t xml:space="preserve">ubs &amp; bars </w:t>
      </w:r>
      <w:r w:rsidR="0092365C">
        <w:rPr>
          <w:rFonts w:ascii="Arial" w:hAnsi="Arial" w:cs="Arial"/>
          <w:sz w:val="20"/>
          <w:szCs w:val="20"/>
        </w:rPr>
        <w:t>have continued to gain channel share, accounting for 15.0% of total eating out occasions across the four weeks – up 2ppts versus the previous period. Restaurants also continue to grow share, up 0.6ppts to 12.7%.</w:t>
      </w:r>
    </w:p>
    <w:p w14:paraId="6B544ADF" w14:textId="77777777" w:rsidR="00DD76E1" w:rsidRDefault="009035F0" w:rsidP="00DD76E1">
      <w:pPr>
        <w:rPr>
          <w:rFonts w:ascii="Arial" w:hAnsi="Arial" w:cs="Arial"/>
          <w:sz w:val="20"/>
          <w:szCs w:val="20"/>
        </w:rPr>
      </w:pPr>
      <w:r>
        <w:rPr>
          <w:rFonts w:ascii="Arial" w:hAnsi="Arial" w:cs="Arial"/>
          <w:sz w:val="20"/>
          <w:szCs w:val="20"/>
        </w:rPr>
        <w:t xml:space="preserve">Average spend per visit across the eating out market also continues to grow, as higher spend channels continue to grow share at the expense of low-ticket channels. Average spend in the </w:t>
      </w:r>
      <w:r w:rsidRPr="009400D0">
        <w:rPr>
          <w:rFonts w:ascii="Arial" w:hAnsi="Arial" w:cs="Arial"/>
          <w:sz w:val="20"/>
          <w:szCs w:val="20"/>
        </w:rPr>
        <w:t>4 w/e 1</w:t>
      </w:r>
      <w:r>
        <w:rPr>
          <w:rFonts w:ascii="Arial" w:hAnsi="Arial" w:cs="Arial"/>
          <w:sz w:val="20"/>
          <w:szCs w:val="20"/>
        </w:rPr>
        <w:t>1</w:t>
      </w:r>
      <w:r w:rsidRPr="009400D0">
        <w:rPr>
          <w:rFonts w:ascii="Arial" w:hAnsi="Arial" w:cs="Arial"/>
          <w:sz w:val="20"/>
          <w:szCs w:val="20"/>
        </w:rPr>
        <w:t xml:space="preserve"> Ju</w:t>
      </w:r>
      <w:r>
        <w:rPr>
          <w:rFonts w:ascii="Arial" w:hAnsi="Arial" w:cs="Arial"/>
          <w:sz w:val="20"/>
          <w:szCs w:val="20"/>
        </w:rPr>
        <w:t>ly</w:t>
      </w:r>
      <w:r w:rsidRPr="009400D0">
        <w:rPr>
          <w:rFonts w:ascii="Arial" w:hAnsi="Arial" w:cs="Arial"/>
          <w:sz w:val="20"/>
          <w:szCs w:val="20"/>
        </w:rPr>
        <w:t xml:space="preserve"> 2021</w:t>
      </w:r>
      <w:r>
        <w:rPr>
          <w:rFonts w:ascii="Arial" w:hAnsi="Arial" w:cs="Arial"/>
          <w:sz w:val="20"/>
          <w:szCs w:val="20"/>
        </w:rPr>
        <w:t xml:space="preserve"> was £9.79, up +2.6%. </w:t>
      </w:r>
    </w:p>
    <w:p w14:paraId="6C54CA52" w14:textId="5B4A4C73" w:rsidR="009035F0" w:rsidRDefault="009035F0" w:rsidP="00DD76E1">
      <w:pPr>
        <w:rPr>
          <w:rFonts w:ascii="Arial" w:hAnsi="Arial" w:cs="Arial"/>
          <w:sz w:val="20"/>
          <w:szCs w:val="20"/>
        </w:rPr>
      </w:pPr>
      <w:r>
        <w:rPr>
          <w:rFonts w:ascii="Arial" w:hAnsi="Arial" w:cs="Arial"/>
          <w:sz w:val="20"/>
          <w:szCs w:val="20"/>
        </w:rPr>
        <w:t xml:space="preserve">This is also reflected in </w:t>
      </w:r>
      <w:r w:rsidR="00DD76E1">
        <w:rPr>
          <w:rFonts w:ascii="Arial" w:hAnsi="Arial" w:cs="Arial"/>
          <w:sz w:val="20"/>
          <w:szCs w:val="20"/>
        </w:rPr>
        <w:t xml:space="preserve">an increase in day part share for dinner, up </w:t>
      </w:r>
      <w:r w:rsidR="00DD76E1" w:rsidRPr="00DD76E1">
        <w:rPr>
          <w:rFonts w:ascii="Arial" w:hAnsi="Arial" w:cs="Arial"/>
          <w:sz w:val="20"/>
          <w:szCs w:val="20"/>
        </w:rPr>
        <w:t xml:space="preserve">by </w:t>
      </w:r>
      <w:r w:rsidR="00DD76E1">
        <w:rPr>
          <w:rFonts w:ascii="Arial" w:hAnsi="Arial" w:cs="Arial"/>
          <w:sz w:val="20"/>
          <w:szCs w:val="20"/>
        </w:rPr>
        <w:t>+</w:t>
      </w:r>
      <w:r w:rsidR="00DD76E1" w:rsidRPr="00DD76E1">
        <w:rPr>
          <w:rFonts w:ascii="Arial" w:hAnsi="Arial" w:cs="Arial"/>
          <w:sz w:val="20"/>
          <w:szCs w:val="20"/>
        </w:rPr>
        <w:t>0.7ppts</w:t>
      </w:r>
      <w:r w:rsidR="00DD76E1">
        <w:rPr>
          <w:rFonts w:ascii="Arial" w:hAnsi="Arial" w:cs="Arial"/>
          <w:sz w:val="20"/>
          <w:szCs w:val="20"/>
        </w:rPr>
        <w:t xml:space="preserve"> </w:t>
      </w:r>
      <w:r w:rsidR="00DD76E1" w:rsidRPr="00DD76E1">
        <w:rPr>
          <w:rFonts w:ascii="Arial" w:hAnsi="Arial" w:cs="Arial"/>
          <w:sz w:val="20"/>
          <w:szCs w:val="20"/>
        </w:rPr>
        <w:t>over the last 4 weeks, from 31.5% to</w:t>
      </w:r>
      <w:r w:rsidR="00DD76E1">
        <w:rPr>
          <w:rFonts w:ascii="Arial" w:hAnsi="Arial" w:cs="Arial"/>
          <w:sz w:val="20"/>
          <w:szCs w:val="20"/>
        </w:rPr>
        <w:t xml:space="preserve"> </w:t>
      </w:r>
      <w:r w:rsidR="00DD76E1" w:rsidRPr="00DD76E1">
        <w:rPr>
          <w:rFonts w:ascii="Arial" w:hAnsi="Arial" w:cs="Arial"/>
          <w:sz w:val="20"/>
          <w:szCs w:val="20"/>
        </w:rPr>
        <w:t>32.2%.</w:t>
      </w:r>
      <w:r w:rsidR="00DD76E1">
        <w:rPr>
          <w:rFonts w:ascii="Arial" w:hAnsi="Arial" w:cs="Arial"/>
          <w:sz w:val="20"/>
          <w:szCs w:val="20"/>
        </w:rPr>
        <w:t xml:space="preserve"> </w:t>
      </w:r>
      <w:r w:rsidR="00DD76E1" w:rsidRPr="00DD76E1">
        <w:rPr>
          <w:rFonts w:ascii="Arial" w:hAnsi="Arial" w:cs="Arial"/>
          <w:sz w:val="20"/>
          <w:szCs w:val="20"/>
        </w:rPr>
        <w:t>Popular dinner items have therefore</w:t>
      </w:r>
      <w:r w:rsidR="00DD76E1">
        <w:rPr>
          <w:rFonts w:ascii="Arial" w:hAnsi="Arial" w:cs="Arial"/>
          <w:sz w:val="20"/>
          <w:szCs w:val="20"/>
        </w:rPr>
        <w:t xml:space="preserve"> </w:t>
      </w:r>
      <w:r w:rsidR="00DD76E1" w:rsidRPr="00DD76E1">
        <w:rPr>
          <w:rFonts w:ascii="Arial" w:hAnsi="Arial" w:cs="Arial"/>
          <w:sz w:val="20"/>
          <w:szCs w:val="20"/>
        </w:rPr>
        <w:t>also increased in share, including</w:t>
      </w:r>
      <w:r w:rsidR="00DD76E1">
        <w:rPr>
          <w:rFonts w:ascii="Arial" w:hAnsi="Arial" w:cs="Arial"/>
          <w:sz w:val="20"/>
          <w:szCs w:val="20"/>
        </w:rPr>
        <w:t xml:space="preserve"> </w:t>
      </w:r>
      <w:r w:rsidR="00DD76E1" w:rsidRPr="00DD76E1">
        <w:rPr>
          <w:rFonts w:ascii="Arial" w:hAnsi="Arial" w:cs="Arial"/>
          <w:sz w:val="20"/>
          <w:szCs w:val="20"/>
        </w:rPr>
        <w:t>burgers (+0.6ppts) and pizza</w:t>
      </w:r>
      <w:r w:rsidR="00DD76E1">
        <w:rPr>
          <w:rFonts w:ascii="Arial" w:hAnsi="Arial" w:cs="Arial"/>
          <w:sz w:val="20"/>
          <w:szCs w:val="20"/>
        </w:rPr>
        <w:t xml:space="preserve"> (+</w:t>
      </w:r>
      <w:r w:rsidR="00DD76E1" w:rsidRPr="00DD76E1">
        <w:rPr>
          <w:rFonts w:ascii="Arial" w:hAnsi="Arial" w:cs="Arial"/>
          <w:sz w:val="20"/>
          <w:szCs w:val="20"/>
        </w:rPr>
        <w:t>1.2ppts).</w:t>
      </w:r>
    </w:p>
    <w:p w14:paraId="75D5E63B" w14:textId="62D1C5B4" w:rsidR="00C61FBF" w:rsidRDefault="009400D0" w:rsidP="009400D0">
      <w:pPr>
        <w:rPr>
          <w:rFonts w:ascii="Arial" w:hAnsi="Arial" w:cs="Arial"/>
          <w:i/>
          <w:iCs/>
          <w:sz w:val="20"/>
          <w:szCs w:val="20"/>
        </w:rPr>
      </w:pPr>
      <w:r w:rsidRPr="009400D0">
        <w:rPr>
          <w:rFonts w:ascii="Arial" w:hAnsi="Arial" w:cs="Arial"/>
          <w:sz w:val="20"/>
          <w:szCs w:val="20"/>
        </w:rPr>
        <w:t xml:space="preserve">Commenting on the results, Insight Director at Lumina Intelligence, Blonnie Whist, said: </w:t>
      </w:r>
      <w:r w:rsidRPr="009400D0">
        <w:rPr>
          <w:rFonts w:ascii="Arial" w:hAnsi="Arial" w:cs="Arial"/>
          <w:i/>
          <w:iCs/>
          <w:sz w:val="20"/>
          <w:szCs w:val="20"/>
        </w:rPr>
        <w:t>“</w:t>
      </w:r>
      <w:r w:rsidR="00C61FBF">
        <w:rPr>
          <w:rFonts w:ascii="Arial" w:hAnsi="Arial" w:cs="Arial"/>
          <w:i/>
          <w:iCs/>
          <w:sz w:val="20"/>
          <w:szCs w:val="20"/>
        </w:rPr>
        <w:t xml:space="preserve">With many consumers remaining cautious amidst rising coronavirus cases in June/July, participation and frequency of eating out remained stable. However, a shift towards pubs &amp; bars and restaurants from lower-ticket solutions like retail and coffee shops has driven an increase in average spend per visit. Pubs will have no doubt capitalised on the recent success of the England team at the Euros.” </w:t>
      </w:r>
    </w:p>
    <w:p w14:paraId="6D3F34F0" w14:textId="47B13EAA" w:rsidR="003E204B" w:rsidRDefault="00B54F43" w:rsidP="009400D0">
      <w:pPr>
        <w:rPr>
          <w:rFonts w:ascii="Arial" w:hAnsi="Arial" w:cs="Arial"/>
          <w:b/>
          <w:bCs/>
        </w:rPr>
      </w:pPr>
      <w:r>
        <w:rPr>
          <w:rFonts w:ascii="Arial" w:hAnsi="Arial" w:cs="Arial"/>
          <w:sz w:val="20"/>
          <w:szCs w:val="20"/>
        </w:rPr>
        <w:t xml:space="preserve">Find out more about Lumina Intelligence’s </w:t>
      </w:r>
      <w:r w:rsidR="00216F72">
        <w:rPr>
          <w:rFonts w:ascii="Arial" w:hAnsi="Arial" w:cs="Arial"/>
          <w:sz w:val="20"/>
          <w:szCs w:val="20"/>
        </w:rPr>
        <w:t>Eating &amp; Drinking Out Panel</w:t>
      </w:r>
      <w:r>
        <w:rPr>
          <w:rFonts w:ascii="Arial" w:hAnsi="Arial" w:cs="Arial"/>
          <w:sz w:val="20"/>
          <w:szCs w:val="20"/>
        </w:rPr>
        <w:t xml:space="preserve"> </w:t>
      </w:r>
      <w:hyperlink r:id="rId7" w:history="1">
        <w:r w:rsidRPr="00B54F43">
          <w:rPr>
            <w:rStyle w:val="Hyperlink"/>
            <w:rFonts w:ascii="Arial" w:hAnsi="Arial" w:cs="Arial"/>
            <w:sz w:val="20"/>
            <w:szCs w:val="20"/>
          </w:rPr>
          <w:t>here</w:t>
        </w:r>
      </w:hyperlink>
      <w:r>
        <w:rPr>
          <w:rFonts w:ascii="Arial" w:hAnsi="Arial" w:cs="Arial"/>
          <w:sz w:val="20"/>
          <w:szCs w:val="20"/>
        </w:rPr>
        <w:t>.</w:t>
      </w:r>
    </w:p>
    <w:p w14:paraId="37CCD9B8" w14:textId="2707B1DD" w:rsidR="00C16ADB" w:rsidRPr="00550B08" w:rsidRDefault="00C16ADB" w:rsidP="007446FD">
      <w:pPr>
        <w:rPr>
          <w:rFonts w:ascii="Arial" w:hAnsi="Arial" w:cs="Arial"/>
          <w:b/>
          <w:bCs/>
        </w:rPr>
      </w:pPr>
      <w:r w:rsidRPr="00550B08">
        <w:rPr>
          <w:rFonts w:ascii="Arial" w:hAnsi="Arial" w:cs="Arial"/>
          <w:b/>
          <w:bCs/>
        </w:rPr>
        <w:t>ENDS</w:t>
      </w:r>
    </w:p>
    <w:p w14:paraId="2DC5233D" w14:textId="7EE5B200" w:rsidR="00ED3ABD" w:rsidRPr="00550B08" w:rsidRDefault="00ED3ABD">
      <w:pPr>
        <w:rPr>
          <w:rFonts w:ascii="Arial" w:hAnsi="Arial" w:cs="Arial"/>
          <w:sz w:val="20"/>
          <w:szCs w:val="20"/>
        </w:rPr>
      </w:pPr>
    </w:p>
    <w:p w14:paraId="305D5469" w14:textId="707DFB05" w:rsidR="00550B08" w:rsidRPr="00550B08" w:rsidRDefault="00550B08">
      <w:pPr>
        <w:rPr>
          <w:rFonts w:ascii="Arial" w:hAnsi="Arial" w:cs="Arial"/>
          <w:b/>
          <w:bCs/>
          <w:sz w:val="20"/>
          <w:szCs w:val="20"/>
        </w:rPr>
      </w:pPr>
      <w:r w:rsidRPr="00550B08">
        <w:rPr>
          <w:rFonts w:ascii="Arial" w:hAnsi="Arial" w:cs="Arial"/>
          <w:b/>
          <w:bCs/>
          <w:sz w:val="20"/>
          <w:szCs w:val="20"/>
        </w:rPr>
        <w:t>Report methodology</w:t>
      </w:r>
    </w:p>
    <w:p w14:paraId="3B19C39C" w14:textId="6672121C" w:rsidR="00216F72" w:rsidRPr="00216F72" w:rsidRDefault="00216F72" w:rsidP="00216F72">
      <w:pPr>
        <w:rPr>
          <w:rFonts w:ascii="Arial" w:hAnsi="Arial" w:cs="Arial"/>
          <w:sz w:val="20"/>
          <w:szCs w:val="20"/>
        </w:rPr>
      </w:pPr>
      <w:r w:rsidRPr="00216F72">
        <w:rPr>
          <w:rFonts w:ascii="Arial" w:hAnsi="Arial" w:cs="Arial"/>
          <w:sz w:val="20"/>
          <w:szCs w:val="20"/>
        </w:rPr>
        <w:t>The</w:t>
      </w:r>
      <w:r>
        <w:rPr>
          <w:rFonts w:ascii="Arial" w:hAnsi="Arial" w:cs="Arial"/>
          <w:sz w:val="20"/>
          <w:szCs w:val="20"/>
        </w:rPr>
        <w:t xml:space="preserve"> </w:t>
      </w:r>
      <w:r w:rsidRPr="00216F72">
        <w:rPr>
          <w:rFonts w:ascii="Arial" w:hAnsi="Arial" w:cs="Arial"/>
          <w:sz w:val="20"/>
          <w:szCs w:val="20"/>
        </w:rPr>
        <w:t>Lumina Intelligence Eating &amp; Drinking Out panel is based on 78,000 surveys across the year, built up from a nationally representative weekly sample of 1,500 shoppers. Our comprehensive coverage includes over 900 operators from across all out of home channels – including restaurants, pubs and bars, cafes and coffee shops, fast food, bakery &amp; sandwich, restaurants and retail channels. We cover dine-in as well as food &amp; drinks consumed on the go, delivered, takeaway and click &amp; collect.</w:t>
      </w:r>
    </w:p>
    <w:p w14:paraId="4CEA97D8" w14:textId="259A82D7" w:rsidR="00ED3ABD" w:rsidRPr="00550B08" w:rsidRDefault="00ED3ABD">
      <w:pPr>
        <w:rPr>
          <w:rFonts w:ascii="Arial" w:hAnsi="Arial" w:cs="Arial"/>
          <w:b/>
          <w:bCs/>
          <w:sz w:val="20"/>
          <w:szCs w:val="20"/>
        </w:rPr>
      </w:pPr>
      <w:r w:rsidRPr="00550B08">
        <w:rPr>
          <w:rFonts w:ascii="Arial" w:hAnsi="Arial" w:cs="Arial"/>
          <w:b/>
          <w:bCs/>
          <w:sz w:val="20"/>
          <w:szCs w:val="20"/>
        </w:rPr>
        <w:t>About Lumina Intelligence</w:t>
      </w:r>
    </w:p>
    <w:p w14:paraId="76264BC3" w14:textId="77777777" w:rsidR="001249C3" w:rsidRPr="001249C3" w:rsidRDefault="001249C3" w:rsidP="001249C3">
      <w:pPr>
        <w:rPr>
          <w:rFonts w:ascii="Arial" w:hAnsi="Arial" w:cs="Arial"/>
          <w:sz w:val="20"/>
          <w:szCs w:val="20"/>
        </w:rPr>
      </w:pPr>
      <w:r w:rsidRPr="001249C3">
        <w:rPr>
          <w:rFonts w:ascii="Arial" w:hAnsi="Arial" w:cs="Arial"/>
          <w:sz w:val="20"/>
          <w:szCs w:val="20"/>
        </w:rPr>
        <w:t xml:space="preserve">Lumina Intelligence inspires the global food and drink sector with deep, actionable insights powered by the world’s best analytics technology. Our products and services are used by the major brands and organisations in these fast moving and growing markets to support business planning, strategic marketing and new product development. </w:t>
      </w:r>
    </w:p>
    <w:p w14:paraId="36357113" w14:textId="77777777" w:rsidR="001249C3" w:rsidRPr="001249C3" w:rsidRDefault="001249C3" w:rsidP="001249C3">
      <w:pPr>
        <w:rPr>
          <w:rFonts w:ascii="Arial" w:hAnsi="Arial" w:cs="Arial"/>
          <w:sz w:val="20"/>
          <w:szCs w:val="20"/>
        </w:rPr>
      </w:pPr>
      <w:r w:rsidRPr="001249C3">
        <w:rPr>
          <w:rFonts w:ascii="Arial" w:hAnsi="Arial" w:cs="Arial"/>
          <w:sz w:val="20"/>
          <w:szCs w:val="20"/>
        </w:rPr>
        <w:lastRenderedPageBreak/>
        <w:t xml:space="preserve">With offices in London, Chicago, Montpellier, and Singapore, and local on the ground analysts across our businesses, you can trust our market knowledge. We are committed to providing all our customers with up to date accurate information to support critical decision making. </w:t>
      </w:r>
    </w:p>
    <w:p w14:paraId="49E5DCBD" w14:textId="77777777" w:rsidR="001249C3" w:rsidRDefault="001249C3" w:rsidP="001249C3">
      <w:pPr>
        <w:rPr>
          <w:rFonts w:ascii="Arial" w:hAnsi="Arial" w:cs="Arial"/>
          <w:sz w:val="20"/>
          <w:szCs w:val="20"/>
        </w:rPr>
      </w:pPr>
      <w:r w:rsidRPr="001249C3">
        <w:rPr>
          <w:rFonts w:ascii="Arial" w:hAnsi="Arial" w:cs="Arial"/>
          <w:sz w:val="20"/>
          <w:szCs w:val="20"/>
        </w:rPr>
        <w:t xml:space="preserve">Combining the expertise and experience of HIM, MCA Insight and Lumina Intelligence, we are the experts in market and consumer insight across the food &amp; drink and nutrition markets. </w:t>
      </w:r>
    </w:p>
    <w:p w14:paraId="4BD10F37" w14:textId="1716346C" w:rsidR="00113451" w:rsidRPr="00550B08" w:rsidRDefault="0038460D" w:rsidP="001249C3">
      <w:pPr>
        <w:rPr>
          <w:rFonts w:ascii="Arial" w:hAnsi="Arial" w:cs="Arial"/>
          <w:sz w:val="20"/>
          <w:szCs w:val="20"/>
        </w:rPr>
      </w:pPr>
      <w:hyperlink r:id="rId8" w:history="1">
        <w:r w:rsidR="00D308D1" w:rsidRPr="00550B08">
          <w:rPr>
            <w:rStyle w:val="Hyperlink"/>
            <w:rFonts w:ascii="Arial" w:hAnsi="Arial" w:cs="Arial"/>
            <w:sz w:val="20"/>
            <w:szCs w:val="20"/>
          </w:rPr>
          <w:t>https://www.lumina-intelligence.com/</w:t>
        </w:r>
      </w:hyperlink>
    </w:p>
    <w:p w14:paraId="7EB7B16A" w14:textId="77777777" w:rsidR="00113451" w:rsidRPr="00550B08" w:rsidRDefault="00113451">
      <w:pPr>
        <w:rPr>
          <w:rFonts w:ascii="Arial" w:hAnsi="Arial" w:cs="Arial"/>
          <w:sz w:val="20"/>
          <w:szCs w:val="20"/>
        </w:rPr>
      </w:pPr>
    </w:p>
    <w:sectPr w:rsidR="00113451" w:rsidRPr="00550B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A5ECB"/>
    <w:multiLevelType w:val="hybridMultilevel"/>
    <w:tmpl w:val="BBA2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E41A2B"/>
    <w:multiLevelType w:val="hybridMultilevel"/>
    <w:tmpl w:val="36AC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B449F"/>
    <w:multiLevelType w:val="hybridMultilevel"/>
    <w:tmpl w:val="D530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6B7C1F"/>
    <w:multiLevelType w:val="hybridMultilevel"/>
    <w:tmpl w:val="D9FC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884E56"/>
    <w:multiLevelType w:val="hybridMultilevel"/>
    <w:tmpl w:val="5A46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7E268D"/>
    <w:multiLevelType w:val="hybridMultilevel"/>
    <w:tmpl w:val="CEB8F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560506"/>
    <w:multiLevelType w:val="hybridMultilevel"/>
    <w:tmpl w:val="EE16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1C1E00"/>
    <w:multiLevelType w:val="hybridMultilevel"/>
    <w:tmpl w:val="E7D6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1"/>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8A"/>
    <w:rsid w:val="0006497F"/>
    <w:rsid w:val="00072404"/>
    <w:rsid w:val="000809E0"/>
    <w:rsid w:val="000F1972"/>
    <w:rsid w:val="00107E2B"/>
    <w:rsid w:val="00113451"/>
    <w:rsid w:val="00116246"/>
    <w:rsid w:val="001249C3"/>
    <w:rsid w:val="00134B6F"/>
    <w:rsid w:val="00195F54"/>
    <w:rsid w:val="001A3D4E"/>
    <w:rsid w:val="001C50C1"/>
    <w:rsid w:val="001C5B98"/>
    <w:rsid w:val="001C65B6"/>
    <w:rsid w:val="001C7BF1"/>
    <w:rsid w:val="001D4D35"/>
    <w:rsid w:val="00214D95"/>
    <w:rsid w:val="00216F72"/>
    <w:rsid w:val="00240CAC"/>
    <w:rsid w:val="00261F91"/>
    <w:rsid w:val="00297C15"/>
    <w:rsid w:val="002A0F0F"/>
    <w:rsid w:val="002E22C9"/>
    <w:rsid w:val="002E7454"/>
    <w:rsid w:val="002F089D"/>
    <w:rsid w:val="002F0BB4"/>
    <w:rsid w:val="002F7EAF"/>
    <w:rsid w:val="00302E10"/>
    <w:rsid w:val="00312F51"/>
    <w:rsid w:val="00363346"/>
    <w:rsid w:val="0038460D"/>
    <w:rsid w:val="003C4BB2"/>
    <w:rsid w:val="003E204B"/>
    <w:rsid w:val="00414095"/>
    <w:rsid w:val="0041755B"/>
    <w:rsid w:val="0044412F"/>
    <w:rsid w:val="004B3902"/>
    <w:rsid w:val="004D23F6"/>
    <w:rsid w:val="004E551E"/>
    <w:rsid w:val="004F1FF8"/>
    <w:rsid w:val="00520307"/>
    <w:rsid w:val="00550B08"/>
    <w:rsid w:val="0055150D"/>
    <w:rsid w:val="00553497"/>
    <w:rsid w:val="00566CAE"/>
    <w:rsid w:val="005B7E51"/>
    <w:rsid w:val="00604B4A"/>
    <w:rsid w:val="0061620B"/>
    <w:rsid w:val="00624D3B"/>
    <w:rsid w:val="0064772D"/>
    <w:rsid w:val="0065536E"/>
    <w:rsid w:val="006562DA"/>
    <w:rsid w:val="00664850"/>
    <w:rsid w:val="00686860"/>
    <w:rsid w:val="00691E88"/>
    <w:rsid w:val="006E75AA"/>
    <w:rsid w:val="006E79FF"/>
    <w:rsid w:val="006F447C"/>
    <w:rsid w:val="00720ABB"/>
    <w:rsid w:val="007221DF"/>
    <w:rsid w:val="007229E3"/>
    <w:rsid w:val="00725D81"/>
    <w:rsid w:val="007337FD"/>
    <w:rsid w:val="007402DC"/>
    <w:rsid w:val="007446FD"/>
    <w:rsid w:val="007451F1"/>
    <w:rsid w:val="00747CEC"/>
    <w:rsid w:val="00755025"/>
    <w:rsid w:val="0076037A"/>
    <w:rsid w:val="007854AB"/>
    <w:rsid w:val="007A50F0"/>
    <w:rsid w:val="007C2AE1"/>
    <w:rsid w:val="007D197C"/>
    <w:rsid w:val="007F3C85"/>
    <w:rsid w:val="00813785"/>
    <w:rsid w:val="008249B4"/>
    <w:rsid w:val="008276B8"/>
    <w:rsid w:val="00831A17"/>
    <w:rsid w:val="00846DDB"/>
    <w:rsid w:val="00862CCB"/>
    <w:rsid w:val="00882EC4"/>
    <w:rsid w:val="008A46AD"/>
    <w:rsid w:val="008C2F28"/>
    <w:rsid w:val="008D4655"/>
    <w:rsid w:val="008D5C4F"/>
    <w:rsid w:val="008E1A01"/>
    <w:rsid w:val="008E317A"/>
    <w:rsid w:val="008E5A63"/>
    <w:rsid w:val="009035F0"/>
    <w:rsid w:val="0092365C"/>
    <w:rsid w:val="009400D0"/>
    <w:rsid w:val="00970A81"/>
    <w:rsid w:val="009A6775"/>
    <w:rsid w:val="009C3668"/>
    <w:rsid w:val="009C613A"/>
    <w:rsid w:val="009D1543"/>
    <w:rsid w:val="00A70FE3"/>
    <w:rsid w:val="00A90A13"/>
    <w:rsid w:val="00A935A1"/>
    <w:rsid w:val="00AA4D4A"/>
    <w:rsid w:val="00AD236E"/>
    <w:rsid w:val="00AE6B2F"/>
    <w:rsid w:val="00B06987"/>
    <w:rsid w:val="00B06B5C"/>
    <w:rsid w:val="00B414CE"/>
    <w:rsid w:val="00B46E6F"/>
    <w:rsid w:val="00B54F43"/>
    <w:rsid w:val="00B616DB"/>
    <w:rsid w:val="00B833AA"/>
    <w:rsid w:val="00BB4747"/>
    <w:rsid w:val="00C16ADB"/>
    <w:rsid w:val="00C176BD"/>
    <w:rsid w:val="00C270FD"/>
    <w:rsid w:val="00C30C1F"/>
    <w:rsid w:val="00C4785A"/>
    <w:rsid w:val="00C545F0"/>
    <w:rsid w:val="00C61FBF"/>
    <w:rsid w:val="00C77C17"/>
    <w:rsid w:val="00C86028"/>
    <w:rsid w:val="00CA6670"/>
    <w:rsid w:val="00CC30CF"/>
    <w:rsid w:val="00CD419B"/>
    <w:rsid w:val="00CE6B8A"/>
    <w:rsid w:val="00D25202"/>
    <w:rsid w:val="00D308D1"/>
    <w:rsid w:val="00D7181B"/>
    <w:rsid w:val="00DB062C"/>
    <w:rsid w:val="00DD76E1"/>
    <w:rsid w:val="00E214AC"/>
    <w:rsid w:val="00E25B65"/>
    <w:rsid w:val="00E56A95"/>
    <w:rsid w:val="00E72427"/>
    <w:rsid w:val="00E734FF"/>
    <w:rsid w:val="00E800EF"/>
    <w:rsid w:val="00EA1B39"/>
    <w:rsid w:val="00ED2C5E"/>
    <w:rsid w:val="00ED3ABD"/>
    <w:rsid w:val="00EE28D1"/>
    <w:rsid w:val="00EF7048"/>
    <w:rsid w:val="00F10F0C"/>
    <w:rsid w:val="00F16921"/>
    <w:rsid w:val="00F744AB"/>
    <w:rsid w:val="00FB2C7F"/>
    <w:rsid w:val="00FC1A9F"/>
    <w:rsid w:val="00FE1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E0BE"/>
  <w15:chartTrackingRefBased/>
  <w15:docId w15:val="{DB18318A-1872-42BE-9CEA-53F63272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ABD"/>
    <w:rPr>
      <w:color w:val="0563C1" w:themeColor="hyperlink"/>
      <w:u w:val="single"/>
    </w:rPr>
  </w:style>
  <w:style w:type="character" w:styleId="UnresolvedMention">
    <w:name w:val="Unresolved Mention"/>
    <w:basedOn w:val="DefaultParagraphFont"/>
    <w:uiPriority w:val="99"/>
    <w:semiHidden/>
    <w:unhideWhenUsed/>
    <w:rsid w:val="00ED3ABD"/>
    <w:rPr>
      <w:color w:val="605E5C"/>
      <w:shd w:val="clear" w:color="auto" w:fill="E1DFDD"/>
    </w:rPr>
  </w:style>
  <w:style w:type="paragraph" w:styleId="BalloonText">
    <w:name w:val="Balloon Text"/>
    <w:basedOn w:val="Normal"/>
    <w:link w:val="BalloonTextChar"/>
    <w:uiPriority w:val="99"/>
    <w:semiHidden/>
    <w:unhideWhenUsed/>
    <w:rsid w:val="00846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DDB"/>
    <w:rPr>
      <w:rFonts w:ascii="Segoe UI" w:hAnsi="Segoe UI" w:cs="Segoe UI"/>
      <w:sz w:val="18"/>
      <w:szCs w:val="18"/>
    </w:rPr>
  </w:style>
  <w:style w:type="paragraph" w:styleId="ListParagraph">
    <w:name w:val="List Paragraph"/>
    <w:basedOn w:val="Normal"/>
    <w:uiPriority w:val="34"/>
    <w:qFormat/>
    <w:rsid w:val="00550B08"/>
    <w:pPr>
      <w:ind w:left="720"/>
      <w:contextualSpacing/>
    </w:pPr>
  </w:style>
  <w:style w:type="character" w:styleId="CommentReference">
    <w:name w:val="annotation reference"/>
    <w:basedOn w:val="DefaultParagraphFont"/>
    <w:uiPriority w:val="99"/>
    <w:semiHidden/>
    <w:unhideWhenUsed/>
    <w:rsid w:val="0044412F"/>
    <w:rPr>
      <w:sz w:val="16"/>
      <w:szCs w:val="16"/>
    </w:rPr>
  </w:style>
  <w:style w:type="paragraph" w:styleId="CommentText">
    <w:name w:val="annotation text"/>
    <w:basedOn w:val="Normal"/>
    <w:link w:val="CommentTextChar"/>
    <w:uiPriority w:val="99"/>
    <w:semiHidden/>
    <w:unhideWhenUsed/>
    <w:rsid w:val="0044412F"/>
    <w:pPr>
      <w:spacing w:line="240" w:lineRule="auto"/>
    </w:pPr>
    <w:rPr>
      <w:sz w:val="20"/>
      <w:szCs w:val="20"/>
    </w:rPr>
  </w:style>
  <w:style w:type="character" w:customStyle="1" w:styleId="CommentTextChar">
    <w:name w:val="Comment Text Char"/>
    <w:basedOn w:val="DefaultParagraphFont"/>
    <w:link w:val="CommentText"/>
    <w:uiPriority w:val="99"/>
    <w:semiHidden/>
    <w:rsid w:val="0044412F"/>
    <w:rPr>
      <w:sz w:val="20"/>
      <w:szCs w:val="20"/>
    </w:rPr>
  </w:style>
  <w:style w:type="paragraph" w:styleId="CommentSubject">
    <w:name w:val="annotation subject"/>
    <w:basedOn w:val="CommentText"/>
    <w:next w:val="CommentText"/>
    <w:link w:val="CommentSubjectChar"/>
    <w:uiPriority w:val="99"/>
    <w:semiHidden/>
    <w:unhideWhenUsed/>
    <w:rsid w:val="0044412F"/>
    <w:rPr>
      <w:b/>
      <w:bCs/>
    </w:rPr>
  </w:style>
  <w:style w:type="character" w:customStyle="1" w:styleId="CommentSubjectChar">
    <w:name w:val="Comment Subject Char"/>
    <w:basedOn w:val="CommentTextChar"/>
    <w:link w:val="CommentSubject"/>
    <w:uiPriority w:val="99"/>
    <w:semiHidden/>
    <w:rsid w:val="0044412F"/>
    <w:rPr>
      <w:b/>
      <w:bCs/>
      <w:sz w:val="20"/>
      <w:szCs w:val="20"/>
    </w:rPr>
  </w:style>
  <w:style w:type="paragraph" w:styleId="Revision">
    <w:name w:val="Revision"/>
    <w:hidden/>
    <w:uiPriority w:val="99"/>
    <w:semiHidden/>
    <w:rsid w:val="008E1A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mina-intelligence.com/" TargetMode="External"/><Relationship Id="rId3" Type="http://schemas.openxmlformats.org/officeDocument/2006/relationships/settings" Target="settings.xml"/><Relationship Id="rId7" Type="http://schemas.openxmlformats.org/officeDocument/2006/relationships/hyperlink" Target="https://www.lumina-intelligence.com/product/eating-and-drinking-out-pan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orgio.rigali@lumina-intelligence.co.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Rigali</dc:creator>
  <cp:keywords/>
  <dc:description/>
  <cp:lastModifiedBy>Giorgio Rigali</cp:lastModifiedBy>
  <cp:revision>6</cp:revision>
  <dcterms:created xsi:type="dcterms:W3CDTF">2021-08-05T08:34:00Z</dcterms:created>
  <dcterms:modified xsi:type="dcterms:W3CDTF">2021-08-05T09:37:00Z</dcterms:modified>
</cp:coreProperties>
</file>